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B70" w:rsidRPr="004E7DEE" w:rsidRDefault="00F350E9" w:rsidP="00F350E9">
      <w:pPr>
        <w:spacing w:after="0" w:line="240" w:lineRule="auto"/>
        <w:jc w:val="center"/>
        <w:rPr>
          <w:rFonts w:ascii="Tahoma" w:hAnsi="Tahoma" w:cs="Tahoma"/>
          <w:b/>
          <w:bCs/>
        </w:rPr>
      </w:pPr>
      <w:r>
        <w:rPr>
          <w:rFonts w:ascii="Tahoma" w:hAnsi="Tahoma" w:cs="Tahoma"/>
          <w:b/>
          <w:bCs/>
        </w:rPr>
        <w:t xml:space="preserve">                                                                                                   </w:t>
      </w:r>
    </w:p>
    <w:p w:rsidR="00F95B70" w:rsidRPr="004E7DEE" w:rsidRDefault="00F95B70" w:rsidP="00A4426D">
      <w:pPr>
        <w:spacing w:after="0" w:line="240" w:lineRule="auto"/>
        <w:rPr>
          <w:rFonts w:cstheme="minorHAnsi"/>
          <w:b/>
          <w:bCs/>
        </w:rPr>
      </w:pPr>
    </w:p>
    <w:p w:rsidR="00F350E9" w:rsidRPr="009E253F" w:rsidRDefault="00F350E9" w:rsidP="00A4426D">
      <w:pPr>
        <w:spacing w:after="0" w:line="240" w:lineRule="auto"/>
        <w:rPr>
          <w:rFonts w:cstheme="minorHAnsi"/>
          <w:b/>
          <w:bCs/>
        </w:rPr>
      </w:pPr>
    </w:p>
    <w:p w:rsidR="00F350E9" w:rsidRPr="009E253F" w:rsidRDefault="00F350E9" w:rsidP="00F350E9">
      <w:pPr>
        <w:spacing w:after="0" w:line="240" w:lineRule="auto"/>
        <w:jc w:val="center"/>
        <w:rPr>
          <w:rFonts w:cstheme="minorHAnsi"/>
          <w:b/>
          <w:bCs/>
        </w:rPr>
      </w:pPr>
      <w:r w:rsidRPr="009E253F">
        <w:rPr>
          <w:rFonts w:cstheme="minorHAnsi"/>
          <w:b/>
          <w:bCs/>
        </w:rPr>
        <w:t xml:space="preserve">«ΙΔΙΩΤΙΚΕΣ ΥΠΗΡΕΣΙΕΣ ΥΓΕΙΑΣ» - ΚΛΑΔΙΚΗ ΜΕΛΕΤΗ </w:t>
      </w:r>
      <w:r w:rsidRPr="009E253F">
        <w:rPr>
          <w:rFonts w:cstheme="minorHAnsi"/>
          <w:b/>
          <w:bCs/>
          <w:lang w:val="en-US"/>
        </w:rPr>
        <w:t>ICAP</w:t>
      </w:r>
      <w:r w:rsidRPr="009E253F">
        <w:rPr>
          <w:rFonts w:cstheme="minorHAnsi"/>
          <w:b/>
          <w:bCs/>
        </w:rPr>
        <w:t xml:space="preserve"> </w:t>
      </w:r>
      <w:r w:rsidRPr="009E253F">
        <w:rPr>
          <w:rFonts w:cstheme="minorHAnsi"/>
          <w:b/>
          <w:bCs/>
          <w:lang w:val="en-US"/>
        </w:rPr>
        <w:t>GROUP</w:t>
      </w:r>
    </w:p>
    <w:p w:rsidR="003D2B44" w:rsidRPr="004E7DEE" w:rsidRDefault="003D2B44" w:rsidP="00597AB7">
      <w:pPr>
        <w:spacing w:after="0" w:line="360" w:lineRule="auto"/>
        <w:jc w:val="both"/>
        <w:rPr>
          <w:rFonts w:cstheme="minorHAnsi"/>
          <w:b/>
          <w:bCs/>
        </w:rPr>
      </w:pPr>
    </w:p>
    <w:p w:rsidR="003D2B44" w:rsidRPr="009E253F" w:rsidRDefault="001456C3" w:rsidP="00F95B70">
      <w:pPr>
        <w:spacing w:after="0" w:line="360" w:lineRule="auto"/>
        <w:jc w:val="center"/>
        <w:rPr>
          <w:rFonts w:cstheme="minorHAnsi"/>
          <w:b/>
          <w:bCs/>
          <w:i/>
        </w:rPr>
      </w:pPr>
      <w:r w:rsidRPr="009E253F">
        <w:rPr>
          <w:rFonts w:cstheme="minorHAnsi"/>
          <w:b/>
          <w:bCs/>
          <w:i/>
        </w:rPr>
        <w:t>Σημαντική ήταν η επιβάρυνση των οικονομικών αποτελεσμάτων του κλάδου των ιδιωτικών υπηρεσ</w:t>
      </w:r>
      <w:r w:rsidR="003E1A59" w:rsidRPr="009E253F">
        <w:rPr>
          <w:rFonts w:cstheme="minorHAnsi"/>
          <w:b/>
          <w:bCs/>
          <w:i/>
        </w:rPr>
        <w:t>ιών υγείας της χώρας μας</w:t>
      </w:r>
      <w:r w:rsidRPr="009E253F">
        <w:rPr>
          <w:rFonts w:cstheme="minorHAnsi"/>
          <w:b/>
          <w:bCs/>
          <w:i/>
        </w:rPr>
        <w:t xml:space="preserve">, ως αποτέλεσμα της εφαρμογής του νόμου περί </w:t>
      </w:r>
      <w:proofErr w:type="spellStart"/>
      <w:r w:rsidRPr="009E253F">
        <w:rPr>
          <w:rFonts w:cstheme="minorHAnsi"/>
          <w:b/>
          <w:bCs/>
          <w:i/>
          <w:lang w:val="en-US"/>
        </w:rPr>
        <w:t>clawback</w:t>
      </w:r>
      <w:proofErr w:type="spellEnd"/>
      <w:r w:rsidRPr="009E253F">
        <w:rPr>
          <w:rFonts w:cstheme="minorHAnsi"/>
          <w:b/>
          <w:bCs/>
          <w:i/>
        </w:rPr>
        <w:t xml:space="preserve"> και </w:t>
      </w:r>
      <w:r w:rsidRPr="009E253F">
        <w:rPr>
          <w:rFonts w:cstheme="minorHAnsi"/>
          <w:b/>
          <w:bCs/>
          <w:i/>
          <w:lang w:val="en-US"/>
        </w:rPr>
        <w:t>rebate</w:t>
      </w:r>
      <w:r w:rsidRPr="009E253F">
        <w:rPr>
          <w:rFonts w:cstheme="minorHAnsi"/>
          <w:b/>
          <w:bCs/>
          <w:i/>
        </w:rPr>
        <w:t>.</w:t>
      </w:r>
    </w:p>
    <w:p w:rsidR="003D2B44" w:rsidRPr="009E253F" w:rsidRDefault="003D2B44" w:rsidP="00597AB7">
      <w:pPr>
        <w:spacing w:after="0" w:line="360" w:lineRule="auto"/>
        <w:jc w:val="both"/>
        <w:rPr>
          <w:rFonts w:cstheme="minorHAnsi"/>
          <w:b/>
          <w:bCs/>
        </w:rPr>
      </w:pPr>
    </w:p>
    <w:p w:rsidR="009E253F" w:rsidRPr="004E7DEE" w:rsidRDefault="003E1A59" w:rsidP="009E253F">
      <w:pPr>
        <w:spacing w:after="0" w:line="360" w:lineRule="auto"/>
        <w:jc w:val="both"/>
        <w:rPr>
          <w:rFonts w:cstheme="minorHAnsi"/>
          <w:b/>
          <w:bCs/>
        </w:rPr>
      </w:pPr>
      <w:r w:rsidRPr="009E253F">
        <w:rPr>
          <w:rFonts w:cstheme="minorHAnsi"/>
          <w:b/>
          <w:bCs/>
        </w:rPr>
        <w:t>Ιδιαίτερα</w:t>
      </w:r>
      <w:r w:rsidR="00CE5FA8" w:rsidRPr="009E253F">
        <w:rPr>
          <w:rFonts w:cstheme="minorHAnsi"/>
          <w:b/>
          <w:bCs/>
        </w:rPr>
        <w:t xml:space="preserve"> σημαντική είναι σήμερα η συνεισφορά των ιδιωτών </w:t>
      </w:r>
      <w:proofErr w:type="spellStart"/>
      <w:r w:rsidR="00CE5FA8" w:rsidRPr="009E253F">
        <w:rPr>
          <w:rFonts w:cstheme="minorHAnsi"/>
          <w:b/>
          <w:bCs/>
        </w:rPr>
        <w:t>παρόχων</w:t>
      </w:r>
      <w:proofErr w:type="spellEnd"/>
      <w:r w:rsidR="00CE5FA8" w:rsidRPr="009E253F">
        <w:rPr>
          <w:rFonts w:cstheme="minorHAnsi"/>
          <w:b/>
          <w:bCs/>
        </w:rPr>
        <w:t xml:space="preserve"> υπηρεσιών υγείας στη χώρα μας, καθώς η συνολική ιδιωτική τρέχουσα δαπάνη υγείας καλύπτει τα τελευταία χρόνια περίπου το 1/3 του συνόλου των δαπανών υγείας της χώρας (δημόσια και ιδιωτική δαπάνη). Τα ιδιωτικά θεραπευτήρια και τα διαγνωστικά κέντρα, συνιστούν έναν κλάδο ο οποίος παρουσίασε σημαντι</w:t>
      </w:r>
      <w:r w:rsidR="00500417" w:rsidRPr="009E253F">
        <w:rPr>
          <w:rFonts w:cstheme="minorHAnsi"/>
          <w:b/>
          <w:bCs/>
        </w:rPr>
        <w:t>κή ανάπτυξη τα τελευταία χρόνια. Ω</w:t>
      </w:r>
      <w:r w:rsidR="005C7335" w:rsidRPr="009E253F">
        <w:rPr>
          <w:rFonts w:cstheme="minorHAnsi"/>
          <w:b/>
          <w:bCs/>
        </w:rPr>
        <w:t>στόσο</w:t>
      </w:r>
      <w:r w:rsidR="00500417" w:rsidRPr="009E253F">
        <w:rPr>
          <w:rFonts w:cstheme="minorHAnsi"/>
          <w:b/>
          <w:bCs/>
        </w:rPr>
        <w:t>,</w:t>
      </w:r>
      <w:r w:rsidR="005C7335" w:rsidRPr="009E253F">
        <w:rPr>
          <w:rFonts w:cstheme="minorHAnsi"/>
          <w:b/>
        </w:rPr>
        <w:t xml:space="preserve"> όπως επισημαίνεται στην κλαδική μελέτη που κυκλοφόρησε από τη Διεύθυνση Οικονομικών Μελετών της ICAP </w:t>
      </w:r>
      <w:proofErr w:type="spellStart"/>
      <w:r w:rsidR="005C7335" w:rsidRPr="009E253F">
        <w:rPr>
          <w:rFonts w:cstheme="minorHAnsi"/>
          <w:b/>
        </w:rPr>
        <w:t>Group</w:t>
      </w:r>
      <w:proofErr w:type="spellEnd"/>
      <w:r w:rsidR="005C7335" w:rsidRPr="009E253F">
        <w:rPr>
          <w:rFonts w:cstheme="minorHAnsi"/>
          <w:b/>
        </w:rPr>
        <w:t>,</w:t>
      </w:r>
      <w:r w:rsidR="005C7335" w:rsidRPr="009E253F">
        <w:rPr>
          <w:rFonts w:cstheme="minorHAnsi"/>
          <w:b/>
          <w:bCs/>
        </w:rPr>
        <w:t xml:space="preserve"> η οικονομική ύφεση των τελευταίων ετών σε συνδυασμό με τη λήψη μέτρων μείωσης των </w:t>
      </w:r>
      <w:r w:rsidR="00500417" w:rsidRPr="009E253F">
        <w:rPr>
          <w:rFonts w:cstheme="minorHAnsi"/>
          <w:b/>
          <w:bCs/>
        </w:rPr>
        <w:t>δαπανών υγείας,</w:t>
      </w:r>
      <w:r w:rsidR="005C7335" w:rsidRPr="009E253F">
        <w:rPr>
          <w:rFonts w:cstheme="minorHAnsi"/>
          <w:b/>
          <w:bCs/>
        </w:rPr>
        <w:t xml:space="preserve"> επηρέασε</w:t>
      </w:r>
      <w:r w:rsidR="00500417" w:rsidRPr="009E253F">
        <w:rPr>
          <w:rFonts w:cstheme="minorHAnsi"/>
          <w:b/>
          <w:bCs/>
        </w:rPr>
        <w:t xml:space="preserve"> τον κλάδο της ιδιωτικής υγείας</w:t>
      </w:r>
      <w:r w:rsidR="005C7335" w:rsidRPr="009E253F">
        <w:rPr>
          <w:rFonts w:cstheme="minorHAnsi"/>
          <w:b/>
          <w:bCs/>
        </w:rPr>
        <w:t xml:space="preserve"> σε σημαντικό βαθμό.</w:t>
      </w:r>
    </w:p>
    <w:p w:rsidR="009E253F" w:rsidRPr="00A4426D" w:rsidRDefault="002B292E" w:rsidP="00A4426D">
      <w:pPr>
        <w:spacing w:after="0" w:line="360" w:lineRule="auto"/>
        <w:jc w:val="both"/>
        <w:rPr>
          <w:rFonts w:cstheme="minorHAnsi"/>
          <w:b/>
          <w:bCs/>
        </w:rPr>
      </w:pPr>
      <w:r w:rsidRPr="009E253F">
        <w:rPr>
          <w:rFonts w:cstheme="minorHAnsi"/>
        </w:rPr>
        <w:t>Σύμφωνα με</w:t>
      </w:r>
      <w:r w:rsidR="001456C3" w:rsidRPr="009E253F">
        <w:rPr>
          <w:rFonts w:cstheme="minorHAnsi"/>
        </w:rPr>
        <w:t xml:space="preserve"> το </w:t>
      </w:r>
      <w:r w:rsidR="001456C3" w:rsidRPr="009E253F">
        <w:rPr>
          <w:rFonts w:cstheme="minorHAnsi"/>
          <w:b/>
        </w:rPr>
        <w:t>Σύστημα Λογαριασμών Υγείας (ΣΛΥ)</w:t>
      </w:r>
      <w:r w:rsidRPr="009E253F">
        <w:rPr>
          <w:rFonts w:cstheme="minorHAnsi"/>
          <w:b/>
        </w:rPr>
        <w:t xml:space="preserve"> </w:t>
      </w:r>
      <w:r w:rsidRPr="009E253F">
        <w:rPr>
          <w:rFonts w:cstheme="minorHAnsi"/>
        </w:rPr>
        <w:t>της ΕΛ.ΣΤΑΤ.</w:t>
      </w:r>
      <w:r w:rsidR="00AC6DDF" w:rsidRPr="009E253F">
        <w:rPr>
          <w:rFonts w:cstheme="minorHAnsi"/>
        </w:rPr>
        <w:t xml:space="preserve">, διαχρονική μείωση παρουσιάζει η </w:t>
      </w:r>
      <w:r w:rsidR="00AC6DDF" w:rsidRPr="009E253F">
        <w:rPr>
          <w:rFonts w:cstheme="minorHAnsi"/>
          <w:b/>
        </w:rPr>
        <w:t>συνολική τρέχουσα δαπάνη υγείας</w:t>
      </w:r>
      <w:r w:rsidR="003E1A59" w:rsidRPr="009E253F">
        <w:rPr>
          <w:rFonts w:cstheme="minorHAnsi"/>
          <w:b/>
        </w:rPr>
        <w:t xml:space="preserve"> </w:t>
      </w:r>
      <w:r w:rsidR="003E1A59" w:rsidRPr="009E253F">
        <w:rPr>
          <w:rFonts w:cstheme="minorHAnsi"/>
        </w:rPr>
        <w:t>στη χώρα μας</w:t>
      </w:r>
      <w:r w:rsidR="003E1A59" w:rsidRPr="009E253F">
        <w:rPr>
          <w:rFonts w:cstheme="minorHAnsi"/>
          <w:b/>
        </w:rPr>
        <w:t xml:space="preserve"> </w:t>
      </w:r>
      <w:r w:rsidR="003E1A59" w:rsidRPr="009E253F">
        <w:rPr>
          <w:rFonts w:cstheme="minorHAnsi"/>
        </w:rPr>
        <w:t>τα τελευταία χρόνια, ενώ</w:t>
      </w:r>
      <w:r w:rsidR="00AC6DDF" w:rsidRPr="009E253F">
        <w:rPr>
          <w:rFonts w:cstheme="minorHAnsi"/>
        </w:rPr>
        <w:t xml:space="preserve"> </w:t>
      </w:r>
      <w:r w:rsidR="003E1A59" w:rsidRPr="009E253F">
        <w:rPr>
          <w:rFonts w:cstheme="minorHAnsi"/>
        </w:rPr>
        <w:t>ως ποσοστό επί του Α.Ε.Π., διαμορφώθηκε στο ποσοστό της τάξης του 9%</w:t>
      </w:r>
      <w:r w:rsidR="00AC6DDF" w:rsidRPr="009E253F">
        <w:rPr>
          <w:rFonts w:cstheme="minorHAnsi"/>
        </w:rPr>
        <w:t xml:space="preserve">.  Ειδικότερα, αναφορικά με το σύνολο της </w:t>
      </w:r>
      <w:r w:rsidR="00AC6DDF" w:rsidRPr="009E253F">
        <w:rPr>
          <w:rFonts w:cstheme="minorHAnsi"/>
          <w:b/>
        </w:rPr>
        <w:t>ιδιωτικής τρέχουσας δαπάνης υγείας</w:t>
      </w:r>
      <w:r w:rsidR="003E1A59" w:rsidRPr="009E253F">
        <w:rPr>
          <w:rFonts w:cstheme="minorHAnsi"/>
        </w:rPr>
        <w:t>, αυτή αντιπροσωπεύει</w:t>
      </w:r>
      <w:r w:rsidR="00AC6DDF" w:rsidRPr="009E253F">
        <w:rPr>
          <w:rFonts w:cstheme="minorHAnsi"/>
        </w:rPr>
        <w:t xml:space="preserve"> το </w:t>
      </w:r>
      <w:r w:rsidR="003E1A59" w:rsidRPr="009E253F">
        <w:rPr>
          <w:rFonts w:cstheme="minorHAnsi"/>
          <w:b/>
        </w:rPr>
        <w:t xml:space="preserve">1/3 </w:t>
      </w:r>
      <w:r w:rsidR="003E1A59" w:rsidRPr="009E253F">
        <w:rPr>
          <w:rFonts w:cstheme="minorHAnsi"/>
        </w:rPr>
        <w:t>περίπου</w:t>
      </w:r>
      <w:r w:rsidR="003E1A59" w:rsidRPr="009E253F">
        <w:rPr>
          <w:rFonts w:cstheme="minorHAnsi"/>
          <w:b/>
        </w:rPr>
        <w:t xml:space="preserve"> </w:t>
      </w:r>
      <w:r w:rsidR="00AC6DDF" w:rsidRPr="009E253F">
        <w:rPr>
          <w:rFonts w:cstheme="minorHAnsi"/>
        </w:rPr>
        <w:t xml:space="preserve">της συνολικής τρέχουσας δαπάνης υγείας. </w:t>
      </w:r>
    </w:p>
    <w:p w:rsidR="009E253F" w:rsidRPr="004E7DEE" w:rsidRDefault="00FE3F18" w:rsidP="009E253F">
      <w:pPr>
        <w:rPr>
          <w:rFonts w:cstheme="minorHAnsi"/>
        </w:rPr>
      </w:pPr>
      <w:r w:rsidRPr="009E253F">
        <w:rPr>
          <w:rFonts w:cstheme="minorHAnsi"/>
        </w:rPr>
        <w:t xml:space="preserve">Ανάλογα με το μέγεθός τους, οι </w:t>
      </w:r>
      <w:r w:rsidRPr="009E253F">
        <w:rPr>
          <w:rFonts w:cstheme="minorHAnsi"/>
          <w:b/>
          <w:bCs/>
        </w:rPr>
        <w:t>ιδιωτικές γενικές κλινικές</w:t>
      </w:r>
      <w:r w:rsidRPr="009E253F">
        <w:rPr>
          <w:rFonts w:cstheme="minorHAnsi"/>
        </w:rPr>
        <w:t xml:space="preserve"> διακρί</w:t>
      </w:r>
      <w:r w:rsidR="002D39A0" w:rsidRPr="009E253F">
        <w:rPr>
          <w:rFonts w:cstheme="minorHAnsi"/>
        </w:rPr>
        <w:t xml:space="preserve">νονται: α) στις </w:t>
      </w:r>
      <w:r w:rsidRPr="009E253F">
        <w:rPr>
          <w:rFonts w:cstheme="minorHAnsi"/>
          <w:b/>
        </w:rPr>
        <w:t>Μ</w:t>
      </w:r>
      <w:r w:rsidRPr="009E253F">
        <w:rPr>
          <w:rFonts w:cstheme="minorHAnsi"/>
          <w:b/>
          <w:bCs/>
        </w:rPr>
        <w:t>εγάλες πολυδύναμες κλινικές</w:t>
      </w:r>
      <w:r w:rsidRPr="009E253F">
        <w:rPr>
          <w:rFonts w:cstheme="minorHAnsi"/>
        </w:rPr>
        <w:t xml:space="preserve"> οι οποίες βρίσκονται στην Αθήνα και τη Θεσσαλονίκη και είναι λίγες σε αριθμό. Οι κλινικές αυτές υπερβαίνουν σε δυναμικότητα τις 300 κλίνες και στην πλειοψηφία τους είναι στελεχωμένες από άρτια εκπαιδευμένο και εξειδικευμένο ιατρικό προσωπικό, διαθέτοντας ιατρικό εξοπλισμό υψηλής τεχνολογίας. Επίσης, διατηρούν συμφωνίες τόσο με ασφαλιστικούς οργανισμούς και ταμεία του δημοσίου, όσο και με τις περισσότερες ασφαλιστικές</w:t>
      </w:r>
      <w:r w:rsidR="002D39A0" w:rsidRPr="009E253F">
        <w:rPr>
          <w:rFonts w:cstheme="minorHAnsi"/>
        </w:rPr>
        <w:t xml:space="preserve"> εταιρείες του ιδιωτικού τομέα, β) στις </w:t>
      </w:r>
      <w:r w:rsidRPr="009E253F">
        <w:rPr>
          <w:rFonts w:cstheme="minorHAnsi"/>
          <w:b/>
        </w:rPr>
        <w:t>Μ</w:t>
      </w:r>
      <w:r w:rsidRPr="009E253F">
        <w:rPr>
          <w:rFonts w:cstheme="minorHAnsi"/>
          <w:b/>
          <w:bCs/>
        </w:rPr>
        <w:t>εσαίες κλινικές</w:t>
      </w:r>
      <w:r w:rsidRPr="009E253F">
        <w:rPr>
          <w:rFonts w:cstheme="minorHAnsi"/>
          <w:bCs/>
        </w:rPr>
        <w:t xml:space="preserve"> οι οποίες</w:t>
      </w:r>
      <w:r w:rsidRPr="009E253F">
        <w:rPr>
          <w:rFonts w:cstheme="minorHAnsi"/>
        </w:rPr>
        <w:t xml:space="preserve"> συνήθως διατηρούν  συμβάσεις με ασφαλιστικές εταιρείες του ιδιωτικού τομέα, κ</w:t>
      </w:r>
      <w:r w:rsidR="002D39A0" w:rsidRPr="009E253F">
        <w:rPr>
          <w:rFonts w:cstheme="minorHAnsi"/>
        </w:rPr>
        <w:t xml:space="preserve">αθώς και με ταμεία του δημοσίου και γ) στις </w:t>
      </w:r>
      <w:r w:rsidRPr="009E253F">
        <w:rPr>
          <w:rFonts w:cstheme="minorHAnsi"/>
          <w:b/>
        </w:rPr>
        <w:t>Μ</w:t>
      </w:r>
      <w:r w:rsidRPr="009E253F">
        <w:rPr>
          <w:rFonts w:cstheme="minorHAnsi"/>
          <w:b/>
          <w:bCs/>
        </w:rPr>
        <w:t>ικρές κλινικές</w:t>
      </w:r>
      <w:r w:rsidRPr="009E253F">
        <w:rPr>
          <w:rFonts w:cstheme="minorHAnsi"/>
          <w:bCs/>
        </w:rPr>
        <w:t xml:space="preserve"> οι περισσότερες των οποίων</w:t>
      </w:r>
      <w:r w:rsidRPr="009E253F">
        <w:rPr>
          <w:rFonts w:cstheme="minorHAnsi"/>
        </w:rPr>
        <w:t xml:space="preserve"> καλύπτουν το κόστος νοσηλείας των ασθενών τους (ολόκληρο ή μέρος), μέσω συμβάσεων που έχουν συνάψει με διάφορους ασφαλιστικούς οργανισμούς του δημοσίου.</w:t>
      </w:r>
      <w:r w:rsidR="002D39A0" w:rsidRPr="009E253F">
        <w:rPr>
          <w:rFonts w:cstheme="minorHAnsi"/>
        </w:rPr>
        <w:t xml:space="preserve"> </w:t>
      </w:r>
    </w:p>
    <w:p w:rsidR="002D39A0" w:rsidRPr="009E253F" w:rsidRDefault="002D39A0" w:rsidP="009E253F">
      <w:pPr>
        <w:rPr>
          <w:rFonts w:cstheme="minorHAnsi"/>
        </w:rPr>
      </w:pPr>
      <w:r w:rsidRPr="009E253F">
        <w:rPr>
          <w:rFonts w:cstheme="minorHAnsi"/>
        </w:rPr>
        <w:t xml:space="preserve">Οι </w:t>
      </w:r>
      <w:proofErr w:type="spellStart"/>
      <w:r w:rsidRPr="009E253F">
        <w:rPr>
          <w:rFonts w:cstheme="minorHAnsi"/>
          <w:b/>
        </w:rPr>
        <w:t>Ν</w:t>
      </w:r>
      <w:r w:rsidRPr="009E253F">
        <w:rPr>
          <w:rFonts w:cstheme="minorHAnsi"/>
          <w:b/>
          <w:bCs/>
        </w:rPr>
        <w:t>ευροψυχιατρικές</w:t>
      </w:r>
      <w:proofErr w:type="spellEnd"/>
      <w:r w:rsidRPr="009E253F">
        <w:rPr>
          <w:rFonts w:cstheme="minorHAnsi"/>
          <w:b/>
          <w:bCs/>
        </w:rPr>
        <w:t xml:space="preserve"> κλινικές</w:t>
      </w:r>
      <w:r w:rsidRPr="009E253F">
        <w:rPr>
          <w:rFonts w:cstheme="minorHAnsi"/>
        </w:rPr>
        <w:t xml:space="preserve"> οι οποίες αποτελούν μια ξεχωριστή</w:t>
      </w:r>
      <w:r w:rsidR="009E253F" w:rsidRPr="009E253F">
        <w:rPr>
          <w:rFonts w:cstheme="minorHAnsi"/>
        </w:rPr>
        <w:t xml:space="preserve"> </w:t>
      </w:r>
      <w:r w:rsidRPr="00FE74B2">
        <w:t xml:space="preserve">κατηγορία, είναι αρκετές σε αριθμό και τα έσοδά τους προέρχονται εξ ολοκλήρου από εσωτερικούς νοσηλευόμενους ασθενείς, εμφανίζοντας υψηλές μέσες ετήσιες </w:t>
      </w:r>
      <w:proofErr w:type="spellStart"/>
      <w:r w:rsidRPr="00FE74B2">
        <w:t>πληρότητες</w:t>
      </w:r>
      <w:proofErr w:type="spellEnd"/>
      <w:r w:rsidRPr="00FE74B2">
        <w:t>.</w:t>
      </w:r>
    </w:p>
    <w:p w:rsidR="00207746" w:rsidRPr="00FE74B2" w:rsidRDefault="00FE74B2" w:rsidP="00597AB7">
      <w:pPr>
        <w:pStyle w:val="a4"/>
        <w:spacing w:after="0" w:line="360" w:lineRule="auto"/>
        <w:rPr>
          <w:rFonts w:ascii="Arial" w:hAnsi="Arial" w:cs="Arial"/>
          <w:sz w:val="20"/>
          <w:szCs w:val="20"/>
        </w:rPr>
      </w:pPr>
      <w:r>
        <w:rPr>
          <w:rFonts w:ascii="Arial" w:hAnsi="Arial" w:cs="Arial"/>
          <w:noProof/>
          <w:sz w:val="20"/>
          <w:szCs w:val="20"/>
          <w:lang w:eastAsia="el-GR"/>
        </w:rPr>
        <w:lastRenderedPageBreak/>
        <w:drawing>
          <wp:anchor distT="0" distB="0" distL="114300" distR="114300" simplePos="0" relativeHeight="251658240" behindDoc="1" locked="0" layoutInCell="1" allowOverlap="1" wp14:anchorId="06B005BF" wp14:editId="29D922AA">
            <wp:simplePos x="0" y="0"/>
            <wp:positionH relativeFrom="column">
              <wp:posOffset>79375</wp:posOffset>
            </wp:positionH>
            <wp:positionV relativeFrom="paragraph">
              <wp:posOffset>215265</wp:posOffset>
            </wp:positionV>
            <wp:extent cx="1170940" cy="1705610"/>
            <wp:effectExtent l="0" t="0" r="0" b="8890"/>
            <wp:wrapThrough wrapText="bothSides">
              <wp:wrapPolygon edited="0">
                <wp:start x="0" y="0"/>
                <wp:lineTo x="0" y="21471"/>
                <wp:lineTo x="21085" y="21471"/>
                <wp:lineTo x="2108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p_spantelaio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940" cy="1705610"/>
                    </a:xfrm>
                    <a:prstGeom prst="rect">
                      <a:avLst/>
                    </a:prstGeom>
                  </pic:spPr>
                </pic:pic>
              </a:graphicData>
            </a:graphic>
            <wp14:sizeRelH relativeFrom="page">
              <wp14:pctWidth>0</wp14:pctWidth>
            </wp14:sizeRelH>
            <wp14:sizeRelV relativeFrom="page">
              <wp14:pctHeight>0</wp14:pctHeight>
            </wp14:sizeRelV>
          </wp:anchor>
        </w:drawing>
      </w:r>
    </w:p>
    <w:p w:rsidR="00CA73FA" w:rsidRPr="00FE74B2" w:rsidRDefault="00170B95" w:rsidP="009E253F">
      <w:r w:rsidRPr="00FE74B2">
        <w:t xml:space="preserve">Η Διευθύντρια Οικονομικών και Κλαδικών Μελετών της </w:t>
      </w:r>
      <w:r w:rsidRPr="00FE74B2">
        <w:rPr>
          <w:lang w:val="en-US"/>
        </w:rPr>
        <w:t>ICAP</w:t>
      </w:r>
      <w:r w:rsidRPr="00FE74B2">
        <w:t xml:space="preserve"> </w:t>
      </w:r>
      <w:r w:rsidRPr="00FE74B2">
        <w:rPr>
          <w:lang w:val="en-US"/>
        </w:rPr>
        <w:t>GROUP</w:t>
      </w:r>
      <w:r w:rsidRPr="00FE74B2">
        <w:t>,</w:t>
      </w:r>
      <w:r w:rsidRPr="00FE74B2">
        <w:rPr>
          <w:b/>
        </w:rPr>
        <w:t xml:space="preserve"> Σταματίνα </w:t>
      </w:r>
      <w:proofErr w:type="spellStart"/>
      <w:r w:rsidRPr="00FE74B2">
        <w:rPr>
          <w:b/>
        </w:rPr>
        <w:t>Παντελαίου</w:t>
      </w:r>
      <w:proofErr w:type="spellEnd"/>
      <w:r w:rsidRPr="00FE74B2">
        <w:t xml:space="preserve"> επισημαίνει σχετικά με την εξέλιξη του κλάδου:</w:t>
      </w:r>
      <w:r w:rsidR="00EE341B" w:rsidRPr="00FE74B2">
        <w:t xml:space="preserve"> </w:t>
      </w:r>
      <w:r w:rsidRPr="00FE74B2">
        <w:t>«Η</w:t>
      </w:r>
      <w:r w:rsidR="00EE341B" w:rsidRPr="00FE74B2">
        <w:t xml:space="preserve"> συνολική αγορά των ιδιωτικών υπηρεσιών υγείας</w:t>
      </w:r>
      <w:r w:rsidR="00F049AE" w:rsidRPr="00FE74B2">
        <w:t xml:space="preserve"> από το 2012 και μετά παρουσιάζει </w:t>
      </w:r>
      <w:r w:rsidRPr="00FE74B2">
        <w:t xml:space="preserve">συνεχή </w:t>
      </w:r>
      <w:r w:rsidR="00F049AE" w:rsidRPr="00FE74B2">
        <w:t>μείωση</w:t>
      </w:r>
      <w:r w:rsidRPr="00FE74B2">
        <w:t>,</w:t>
      </w:r>
      <w:r w:rsidR="00F049AE" w:rsidRPr="00FE74B2">
        <w:t xml:space="preserve"> με μέσο ετήσιο ρυθμό της τάξεως του </w:t>
      </w:r>
      <w:r w:rsidR="00CA73FA" w:rsidRPr="00FE74B2">
        <w:t>13,5%</w:t>
      </w:r>
      <w:r w:rsidR="00EE341B" w:rsidRPr="00FE74B2">
        <w:t>.</w:t>
      </w:r>
      <w:r w:rsidR="00797C2C" w:rsidRPr="00FE74B2">
        <w:t xml:space="preserve"> Αν και η συνεργασία των ιδιωτικών μονάδων υγείας με τον ΕΟΠΥΥ οδήγησε σε μια </w:t>
      </w:r>
      <w:r w:rsidR="00797C2C" w:rsidRPr="00FE74B2">
        <w:rPr>
          <w:b/>
        </w:rPr>
        <w:t>τάση αύξησης της ροής ασθενών</w:t>
      </w:r>
      <w:r w:rsidR="00797C2C" w:rsidRPr="00FE74B2">
        <w:t xml:space="preserve"> προς αρκετές μονάδες του κλάδου, </w:t>
      </w:r>
      <w:r w:rsidRPr="00FE74B2">
        <w:t xml:space="preserve">ωστόσο </w:t>
      </w:r>
      <w:r w:rsidR="00797C2C" w:rsidRPr="00FE74B2">
        <w:t xml:space="preserve">η συνεχιζόμενη μείωση των τιμών των ιατρικών υπηρεσιών από αρκετές ιδιωτικές κλινικές και διαγνωστικά κέντρα, σε μια προσπάθεια διατήρησης ή ακόμη και αύξησης της «πελατειακής» τους βάσης, η περαιτέρω μείωση των τιμών των φαρμάκων και κυρίως η επιβολή του νόμου περί </w:t>
      </w:r>
      <w:proofErr w:type="spellStart"/>
      <w:r w:rsidR="00797C2C" w:rsidRPr="00FE74B2">
        <w:rPr>
          <w:lang w:val="en-US"/>
        </w:rPr>
        <w:t>clawback</w:t>
      </w:r>
      <w:proofErr w:type="spellEnd"/>
      <w:r w:rsidR="00797C2C" w:rsidRPr="00FE74B2">
        <w:t xml:space="preserve"> και </w:t>
      </w:r>
      <w:r w:rsidR="00797C2C" w:rsidRPr="00FE74B2">
        <w:rPr>
          <w:lang w:val="en-US"/>
        </w:rPr>
        <w:t>rebate</w:t>
      </w:r>
      <w:r w:rsidR="00797C2C" w:rsidRPr="00FE74B2">
        <w:t xml:space="preserve"> </w:t>
      </w:r>
      <w:r w:rsidR="006531FA" w:rsidRPr="00FE74B2">
        <w:t>αποτέλεσαν τους κύριους λόγους</w:t>
      </w:r>
      <w:r w:rsidR="00797C2C" w:rsidRPr="00FE74B2">
        <w:t xml:space="preserve"> μείωση</w:t>
      </w:r>
      <w:r w:rsidR="006531FA" w:rsidRPr="00FE74B2">
        <w:t>ς</w:t>
      </w:r>
      <w:r w:rsidR="00797C2C" w:rsidRPr="00FE74B2">
        <w:t xml:space="preserve"> της συνολικής αξίας της αγοράς</w:t>
      </w:r>
      <w:r w:rsidR="00E46822" w:rsidRPr="00FE74B2">
        <w:t>. Η αγορά των Ιδιωτικών Υπηρεσιών Υγείας εκτιμάται σε € 1,4 δις. για το 2014</w:t>
      </w:r>
      <w:r w:rsidRPr="00FE74B2">
        <w:t>».</w:t>
      </w:r>
      <w:r w:rsidR="00EE341B" w:rsidRPr="00FE74B2">
        <w:t xml:space="preserve"> </w:t>
      </w:r>
    </w:p>
    <w:tbl>
      <w:tblPr>
        <w:tblpPr w:leftFromText="180" w:rightFromText="180" w:vertAnchor="text" w:horzAnchor="margin" w:tblpY="193"/>
        <w:tblW w:w="86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ayout w:type="fixed"/>
        <w:tblLook w:val="00A0" w:firstRow="1" w:lastRow="0" w:firstColumn="1" w:lastColumn="0" w:noHBand="0" w:noVBand="0"/>
      </w:tblPr>
      <w:tblGrid>
        <w:gridCol w:w="4395"/>
        <w:gridCol w:w="4252"/>
      </w:tblGrid>
      <w:tr w:rsidR="00600E6D" w:rsidRPr="007270B4" w:rsidTr="00600E6D">
        <w:trPr>
          <w:trHeight w:val="57"/>
        </w:trPr>
        <w:tc>
          <w:tcPr>
            <w:tcW w:w="4395" w:type="dxa"/>
            <w:shd w:val="clear" w:color="auto" w:fill="0070C0"/>
            <w:vAlign w:val="center"/>
          </w:tcPr>
          <w:p w:rsidR="00600E6D" w:rsidRDefault="00600E6D" w:rsidP="00600E6D">
            <w:pPr>
              <w:pStyle w:val="20100"/>
              <w:spacing w:before="0" w:after="0" w:line="276" w:lineRule="auto"/>
              <w:ind w:left="-426" w:firstLine="426"/>
              <w:rPr>
                <w:rFonts w:ascii="Tahoma" w:hAnsi="Tahoma" w:cs="Tahoma"/>
              </w:rPr>
            </w:pPr>
            <w:r>
              <w:rPr>
                <w:rFonts w:ascii="Tahoma" w:hAnsi="Tahoma" w:cs="Tahoma"/>
              </w:rPr>
              <w:t xml:space="preserve">    Εξέλιξη δείκτη μεγέθους αγοράς </w:t>
            </w:r>
          </w:p>
          <w:p w:rsidR="00600E6D" w:rsidRPr="007270B4" w:rsidRDefault="00600E6D" w:rsidP="00600E6D">
            <w:pPr>
              <w:pStyle w:val="20100"/>
              <w:spacing w:before="0" w:after="0" w:line="276" w:lineRule="auto"/>
              <w:ind w:left="-426" w:firstLine="426"/>
              <w:rPr>
                <w:rFonts w:ascii="Tahoma" w:hAnsi="Tahoma" w:cs="Tahoma"/>
              </w:rPr>
            </w:pPr>
            <w:r>
              <w:rPr>
                <w:rFonts w:ascii="Tahoma" w:hAnsi="Tahoma" w:cs="Tahoma"/>
              </w:rPr>
              <w:t>ιδιωτικών υπηρεσιών υγείας (2006-2014</w:t>
            </w:r>
            <w:r w:rsidRPr="007270B4">
              <w:rPr>
                <w:rFonts w:ascii="Tahoma" w:hAnsi="Tahoma" w:cs="Tahoma"/>
              </w:rPr>
              <w:t>)</w:t>
            </w:r>
          </w:p>
        </w:tc>
        <w:tc>
          <w:tcPr>
            <w:tcW w:w="4252" w:type="dxa"/>
            <w:shd w:val="clear" w:color="auto" w:fill="0070C0"/>
            <w:vAlign w:val="center"/>
          </w:tcPr>
          <w:p w:rsidR="00600E6D" w:rsidRPr="007270B4" w:rsidRDefault="00600E6D" w:rsidP="00600E6D">
            <w:pPr>
              <w:pStyle w:val="20100"/>
              <w:spacing w:before="0" w:after="0" w:line="276" w:lineRule="auto"/>
              <w:ind w:left="-426" w:firstLine="426"/>
              <w:rPr>
                <w:rFonts w:ascii="Tahoma" w:hAnsi="Tahoma" w:cs="Tahoma"/>
              </w:rPr>
            </w:pPr>
            <w:r>
              <w:rPr>
                <w:rFonts w:ascii="Tahoma" w:hAnsi="Tahoma" w:cs="Tahoma"/>
              </w:rPr>
              <w:t xml:space="preserve">Διάρθρωση αγοράς ιδιωτικών υπηρεσιών υγείας </w:t>
            </w:r>
          </w:p>
        </w:tc>
      </w:tr>
      <w:tr w:rsidR="00600E6D" w:rsidRPr="007270B4" w:rsidTr="00600E6D">
        <w:trPr>
          <w:trHeight w:val="3203"/>
        </w:trPr>
        <w:tc>
          <w:tcPr>
            <w:tcW w:w="4395" w:type="dxa"/>
            <w:tcBorders>
              <w:bottom w:val="single" w:sz="4" w:space="0" w:color="C0C0C0"/>
            </w:tcBorders>
            <w:shd w:val="clear" w:color="auto" w:fill="FFFFFF"/>
            <w:vAlign w:val="center"/>
          </w:tcPr>
          <w:p w:rsidR="00600E6D" w:rsidRPr="007270B4" w:rsidRDefault="00600E6D" w:rsidP="00600E6D">
            <w:pPr>
              <w:pStyle w:val="a4"/>
              <w:rPr>
                <w:rFonts w:ascii="Tahoma" w:hAnsi="Tahoma" w:cs="Tahoma"/>
                <w:szCs w:val="20"/>
              </w:rPr>
            </w:pPr>
            <w:r>
              <w:rPr>
                <w:rFonts w:ascii="Tahoma" w:hAnsi="Tahoma" w:cs="Tahoma"/>
                <w:noProof/>
                <w:sz w:val="18"/>
                <w:szCs w:val="18"/>
                <w:lang w:eastAsia="el-GR"/>
              </w:rPr>
              <w:drawing>
                <wp:inline distT="0" distB="0" distL="0" distR="0" wp14:anchorId="03F282BF" wp14:editId="098E817A">
                  <wp:extent cx="2655570" cy="2121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5570" cy="2121535"/>
                          </a:xfrm>
                          <a:prstGeom prst="rect">
                            <a:avLst/>
                          </a:prstGeom>
                          <a:noFill/>
                          <a:ln>
                            <a:noFill/>
                          </a:ln>
                        </pic:spPr>
                      </pic:pic>
                    </a:graphicData>
                  </a:graphic>
                </wp:inline>
              </w:drawing>
            </w:r>
            <w:r>
              <w:rPr>
                <w:rFonts w:ascii="Tahoma" w:hAnsi="Tahoma" w:cs="Tahoma"/>
                <w:sz w:val="18"/>
                <w:szCs w:val="18"/>
              </w:rPr>
              <w:t>Έτ</w:t>
            </w:r>
            <w:r w:rsidRPr="00F7588F">
              <w:rPr>
                <w:rFonts w:ascii="Tahoma" w:hAnsi="Tahoma" w:cs="Tahoma"/>
                <w:sz w:val="18"/>
                <w:szCs w:val="18"/>
              </w:rPr>
              <w:t>ος βάσης 2006=100</w:t>
            </w:r>
          </w:p>
        </w:tc>
        <w:tc>
          <w:tcPr>
            <w:tcW w:w="4252" w:type="dxa"/>
            <w:tcBorders>
              <w:bottom w:val="single" w:sz="4" w:space="0" w:color="C0C0C0"/>
            </w:tcBorders>
            <w:shd w:val="clear" w:color="auto" w:fill="FFFFFF"/>
            <w:vAlign w:val="center"/>
          </w:tcPr>
          <w:p w:rsidR="00600E6D" w:rsidRPr="00101B43" w:rsidRDefault="00600E6D" w:rsidP="00600E6D">
            <w:pPr>
              <w:pStyle w:val="a4"/>
              <w:rPr>
                <w:rFonts w:ascii="Tahoma" w:hAnsi="Tahoma" w:cs="Tahoma"/>
                <w:b/>
                <w:szCs w:val="20"/>
              </w:rPr>
            </w:pPr>
            <w:r>
              <w:rPr>
                <w:rFonts w:ascii="Tahoma" w:hAnsi="Tahoma" w:cs="Tahoma"/>
                <w:b/>
                <w:noProof/>
                <w:szCs w:val="20"/>
                <w:lang w:eastAsia="el-GR"/>
              </w:rPr>
              <w:drawing>
                <wp:inline distT="0" distB="0" distL="0" distR="0" wp14:anchorId="3B09DF9D" wp14:editId="04D47004">
                  <wp:extent cx="2560320" cy="2136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0320" cy="2136140"/>
                          </a:xfrm>
                          <a:prstGeom prst="rect">
                            <a:avLst/>
                          </a:prstGeom>
                          <a:noFill/>
                          <a:ln>
                            <a:noFill/>
                          </a:ln>
                        </pic:spPr>
                      </pic:pic>
                    </a:graphicData>
                  </a:graphic>
                </wp:inline>
              </w:drawing>
            </w:r>
          </w:p>
        </w:tc>
      </w:tr>
      <w:tr w:rsidR="00600E6D" w:rsidRPr="000A6207" w:rsidTr="00600E6D">
        <w:trPr>
          <w:trHeight w:val="361"/>
        </w:trPr>
        <w:tc>
          <w:tcPr>
            <w:tcW w:w="8647" w:type="dxa"/>
            <w:gridSpan w:val="2"/>
            <w:tcBorders>
              <w:bottom w:val="single" w:sz="4" w:space="0" w:color="C0C0C0"/>
            </w:tcBorders>
            <w:shd w:val="clear" w:color="auto" w:fill="D9D9D9" w:themeFill="background1" w:themeFillShade="D9"/>
            <w:vAlign w:val="center"/>
          </w:tcPr>
          <w:p w:rsidR="00600E6D" w:rsidRPr="001D77D7" w:rsidRDefault="00600E6D" w:rsidP="00600E6D">
            <w:pPr>
              <w:pStyle w:val="a4"/>
              <w:spacing w:line="240" w:lineRule="auto"/>
              <w:jc w:val="right"/>
              <w:rPr>
                <w:rFonts w:ascii="Tahoma" w:hAnsi="Tahoma" w:cs="Tahoma"/>
                <w:i/>
              </w:rPr>
            </w:pPr>
            <w:r w:rsidRPr="000A6207">
              <w:rPr>
                <w:rFonts w:ascii="Tahoma" w:hAnsi="Tahoma" w:cs="Tahoma"/>
                <w:i/>
              </w:rPr>
              <w:t>Πηγή</w:t>
            </w:r>
            <w:r w:rsidRPr="00D05A22">
              <w:rPr>
                <w:rFonts w:ascii="Tahoma" w:hAnsi="Tahoma" w:cs="Tahoma"/>
                <w:i/>
              </w:rPr>
              <w:t xml:space="preserve">: </w:t>
            </w:r>
            <w:r>
              <w:rPr>
                <w:rFonts w:ascii="Tahoma" w:hAnsi="Tahoma" w:cs="Tahoma"/>
                <w:i/>
              </w:rPr>
              <w:t xml:space="preserve">Κλαδική Μελέτη </w:t>
            </w:r>
            <w:r w:rsidRPr="000A6207">
              <w:rPr>
                <w:rFonts w:ascii="Tahoma" w:hAnsi="Tahoma" w:cs="Tahoma"/>
                <w:i/>
                <w:lang w:val="en-US"/>
              </w:rPr>
              <w:t>ICAP</w:t>
            </w:r>
            <w:r w:rsidRPr="00D05A22">
              <w:rPr>
                <w:rFonts w:ascii="Tahoma" w:hAnsi="Tahoma" w:cs="Tahoma"/>
                <w:i/>
              </w:rPr>
              <w:t xml:space="preserve"> </w:t>
            </w:r>
            <w:r w:rsidRPr="000A6207">
              <w:rPr>
                <w:rFonts w:ascii="Tahoma" w:hAnsi="Tahoma" w:cs="Tahoma"/>
                <w:i/>
                <w:lang w:val="en-US"/>
              </w:rPr>
              <w:t>Group</w:t>
            </w:r>
            <w:r w:rsidRPr="00D05A22">
              <w:rPr>
                <w:rFonts w:ascii="Tahoma" w:hAnsi="Tahoma" w:cs="Tahoma"/>
                <w:i/>
              </w:rPr>
              <w:t xml:space="preserve"> </w:t>
            </w:r>
            <w:r w:rsidRPr="000A6207">
              <w:rPr>
                <w:rFonts w:ascii="Tahoma" w:hAnsi="Tahoma" w:cs="Tahoma"/>
                <w:i/>
                <w:lang w:val="en-US"/>
              </w:rPr>
              <w:t>AE</w:t>
            </w:r>
          </w:p>
        </w:tc>
      </w:tr>
    </w:tbl>
    <w:p w:rsidR="00CA73FA" w:rsidRDefault="00CA73FA" w:rsidP="00AB66E0">
      <w:pPr>
        <w:pStyle w:val="a4"/>
        <w:spacing w:after="0" w:line="360" w:lineRule="auto"/>
        <w:rPr>
          <w:rFonts w:ascii="Arial" w:hAnsi="Arial" w:cs="Arial"/>
          <w:sz w:val="20"/>
        </w:rPr>
      </w:pPr>
    </w:p>
    <w:p w:rsidR="00FE74B2" w:rsidRPr="004E7DEE" w:rsidRDefault="00FE74B2" w:rsidP="00AB66E0">
      <w:pPr>
        <w:pStyle w:val="a4"/>
        <w:spacing w:after="0" w:line="360" w:lineRule="auto"/>
        <w:rPr>
          <w:rFonts w:ascii="Arial" w:hAnsi="Arial" w:cs="Arial"/>
          <w:sz w:val="20"/>
          <w:szCs w:val="20"/>
        </w:rPr>
      </w:pPr>
    </w:p>
    <w:p w:rsidR="00FE74B2" w:rsidRPr="004E7DEE" w:rsidRDefault="00FE74B2" w:rsidP="00AB66E0">
      <w:pPr>
        <w:pStyle w:val="a4"/>
        <w:spacing w:after="0" w:line="360" w:lineRule="auto"/>
        <w:rPr>
          <w:rFonts w:ascii="Arial" w:hAnsi="Arial" w:cs="Arial"/>
          <w:sz w:val="20"/>
          <w:szCs w:val="20"/>
        </w:rPr>
      </w:pPr>
    </w:p>
    <w:p w:rsidR="00FE74B2" w:rsidRPr="004E7DEE" w:rsidRDefault="00FE74B2" w:rsidP="00AB66E0">
      <w:pPr>
        <w:pStyle w:val="a4"/>
        <w:spacing w:after="0" w:line="360" w:lineRule="auto"/>
        <w:rPr>
          <w:rFonts w:ascii="Arial" w:hAnsi="Arial" w:cs="Arial"/>
          <w:sz w:val="20"/>
          <w:szCs w:val="20"/>
        </w:rPr>
      </w:pPr>
    </w:p>
    <w:p w:rsidR="00A4426D" w:rsidRPr="00FE74B2" w:rsidRDefault="00FE74B2" w:rsidP="009E253F">
      <w:r>
        <w:rPr>
          <w:noProof/>
          <w:lang w:eastAsia="el-GR"/>
        </w:rPr>
        <w:lastRenderedPageBreak/>
        <w:drawing>
          <wp:anchor distT="0" distB="0" distL="114300" distR="114300" simplePos="0" relativeHeight="251659264" behindDoc="1" locked="0" layoutInCell="1" allowOverlap="1" wp14:anchorId="01D98D38" wp14:editId="120B4309">
            <wp:simplePos x="0" y="0"/>
            <wp:positionH relativeFrom="column">
              <wp:posOffset>0</wp:posOffset>
            </wp:positionH>
            <wp:positionV relativeFrom="paragraph">
              <wp:posOffset>0</wp:posOffset>
            </wp:positionV>
            <wp:extent cx="2487295" cy="1657985"/>
            <wp:effectExtent l="0" t="0" r="8255" b="0"/>
            <wp:wrapThrough wrapText="bothSides">
              <wp:wrapPolygon edited="0">
                <wp:start x="0" y="0"/>
                <wp:lineTo x="0" y="21344"/>
                <wp:lineTo x="21506" y="21344"/>
                <wp:lineTo x="2150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ΙCAPKωνσταντίνοςΠαλαιολόγος.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7295" cy="1657985"/>
                    </a:xfrm>
                    <a:prstGeom prst="rect">
                      <a:avLst/>
                    </a:prstGeom>
                  </pic:spPr>
                </pic:pic>
              </a:graphicData>
            </a:graphic>
            <wp14:sizeRelH relativeFrom="page">
              <wp14:pctWidth>0</wp14:pctWidth>
            </wp14:sizeRelH>
            <wp14:sizeRelV relativeFrom="page">
              <wp14:pctHeight>0</wp14:pctHeight>
            </wp14:sizeRelV>
          </wp:anchor>
        </w:drawing>
      </w:r>
      <w:r w:rsidR="00170B95" w:rsidRPr="00FE74B2">
        <w:t xml:space="preserve">Όπως σημειώνει ο </w:t>
      </w:r>
      <w:r w:rsidR="00170B95" w:rsidRPr="00FE74B2">
        <w:rPr>
          <w:lang w:val="en-US"/>
        </w:rPr>
        <w:t>Senior</w:t>
      </w:r>
      <w:r w:rsidR="00170B95" w:rsidRPr="00FE74B2">
        <w:t xml:space="preserve"> </w:t>
      </w:r>
      <w:r w:rsidR="00170B95" w:rsidRPr="00FE74B2">
        <w:rPr>
          <w:lang w:val="en-US"/>
        </w:rPr>
        <w:t>Consultant</w:t>
      </w:r>
      <w:r w:rsidR="00170B95" w:rsidRPr="00FE74B2">
        <w:t xml:space="preserve"> της </w:t>
      </w:r>
      <w:r w:rsidR="00170B95" w:rsidRPr="00FE74B2">
        <w:rPr>
          <w:lang w:val="en-US"/>
        </w:rPr>
        <w:t>ICAP</w:t>
      </w:r>
      <w:r w:rsidR="00170B95" w:rsidRPr="00FE74B2">
        <w:t xml:space="preserve"> </w:t>
      </w:r>
      <w:r w:rsidR="00170B95" w:rsidRPr="00FE74B2">
        <w:rPr>
          <w:lang w:val="en-US"/>
        </w:rPr>
        <w:t>GROUP</w:t>
      </w:r>
      <w:r w:rsidR="00170B95" w:rsidRPr="00FE74B2">
        <w:t>,</w:t>
      </w:r>
      <w:r w:rsidR="00170B95" w:rsidRPr="00FE74B2">
        <w:rPr>
          <w:b/>
        </w:rPr>
        <w:t xml:space="preserve"> Κωνσταντίνος Παλαιολόγος, </w:t>
      </w:r>
      <w:r w:rsidR="00170B95" w:rsidRPr="00FE74B2">
        <w:t>ο οποίος επιμελήθηκε την εν λόγω κλαδική μελέτη,</w:t>
      </w:r>
      <w:r w:rsidR="00EE341B" w:rsidRPr="00FE74B2">
        <w:t xml:space="preserve"> τη </w:t>
      </w:r>
      <w:r w:rsidR="00EE341B" w:rsidRPr="00FE74B2">
        <w:rPr>
          <w:b/>
        </w:rPr>
        <w:t>μεγαλύτερη μείωση</w:t>
      </w:r>
      <w:r w:rsidR="00EE341B" w:rsidRPr="00FE74B2">
        <w:t xml:space="preserve"> εμφανίζουν τα έσοδα των </w:t>
      </w:r>
      <w:r w:rsidR="00EE341B" w:rsidRPr="00FE74B2">
        <w:rPr>
          <w:b/>
        </w:rPr>
        <w:t>γενικών κλινικών</w:t>
      </w:r>
      <w:r w:rsidR="00CA73FA" w:rsidRPr="00FE74B2">
        <w:rPr>
          <w:b/>
        </w:rPr>
        <w:t xml:space="preserve">, </w:t>
      </w:r>
      <w:r w:rsidR="00CA73FA" w:rsidRPr="00FE74B2">
        <w:t>η οποία διαμορφώθηκε σε</w:t>
      </w:r>
      <w:r w:rsidR="00CA73FA" w:rsidRPr="00FE74B2">
        <w:rPr>
          <w:b/>
        </w:rPr>
        <w:t xml:space="preserve"> </w:t>
      </w:r>
      <w:r w:rsidR="00EE341B" w:rsidRPr="00FE74B2">
        <w:t xml:space="preserve">περίπου </w:t>
      </w:r>
      <w:r w:rsidR="00EE341B" w:rsidRPr="00FE74B2">
        <w:rPr>
          <w:b/>
        </w:rPr>
        <w:t>23%</w:t>
      </w:r>
      <w:r w:rsidR="00EE341B" w:rsidRPr="00FE74B2">
        <w:t xml:space="preserve"> και ακολουθεί η αγορά των </w:t>
      </w:r>
      <w:r w:rsidR="00EE341B" w:rsidRPr="00FE74B2">
        <w:rPr>
          <w:b/>
        </w:rPr>
        <w:t>μαιευτικών - γυναικολογικών κλινικών</w:t>
      </w:r>
      <w:r w:rsidR="00EE341B" w:rsidRPr="00FE74B2">
        <w:t xml:space="preserve"> με ποσοστό μείωσης περίπου </w:t>
      </w:r>
      <w:r w:rsidR="00EE341B" w:rsidRPr="00FE74B2">
        <w:rPr>
          <w:b/>
        </w:rPr>
        <w:t>15%</w:t>
      </w:r>
      <w:r w:rsidR="00EE341B" w:rsidRPr="00FE74B2">
        <w:t xml:space="preserve">. Σχετικά με τα ιδιωτικά </w:t>
      </w:r>
      <w:r w:rsidR="00EE341B" w:rsidRPr="00FE74B2">
        <w:rPr>
          <w:b/>
        </w:rPr>
        <w:t>διαγνωστικά κέντρα</w:t>
      </w:r>
      <w:r w:rsidR="00EE341B" w:rsidRPr="00FE74B2">
        <w:t xml:space="preserve">, η μείωση των εσόδων τους διαμορφώθηκε στο </w:t>
      </w:r>
      <w:r w:rsidR="00EE341B" w:rsidRPr="00FE74B2">
        <w:rPr>
          <w:b/>
        </w:rPr>
        <w:t>9,5%</w:t>
      </w:r>
      <w:r w:rsidR="00CA73FA" w:rsidRPr="00FE74B2">
        <w:t>, ενώ α</w:t>
      </w:r>
      <w:r w:rsidR="00EE341B" w:rsidRPr="00FE74B2">
        <w:t xml:space="preserve">πώλειες καταγράφονται και για την υποκατηγορία των </w:t>
      </w:r>
      <w:proofErr w:type="spellStart"/>
      <w:r w:rsidR="00EE341B" w:rsidRPr="00FE74B2">
        <w:rPr>
          <w:b/>
        </w:rPr>
        <w:t>νευροψυχιατρικών</w:t>
      </w:r>
      <w:proofErr w:type="spellEnd"/>
      <w:r w:rsidR="00EE341B" w:rsidRPr="00FE74B2">
        <w:rPr>
          <w:b/>
        </w:rPr>
        <w:t xml:space="preserve"> κλινικών</w:t>
      </w:r>
      <w:r w:rsidR="00EE341B" w:rsidRPr="00FE74B2">
        <w:t xml:space="preserve">, το μέγεθος αγοράς των οποίων μειώθηκε κατά </w:t>
      </w:r>
      <w:r w:rsidR="00EE341B" w:rsidRPr="00FE74B2">
        <w:rPr>
          <w:b/>
        </w:rPr>
        <w:t>22%</w:t>
      </w:r>
      <w:r w:rsidR="00EE341B" w:rsidRPr="00FE74B2">
        <w:t xml:space="preserve"> περίπου την περίοδο 2013/12.</w:t>
      </w:r>
      <w:r w:rsidR="00BF42F1" w:rsidRPr="00FE74B2">
        <w:t xml:space="preserve"> </w:t>
      </w:r>
      <w:r w:rsidR="00EE341B" w:rsidRPr="00FE74B2">
        <w:t>Ωστόσο, αξίζει να</w:t>
      </w:r>
      <w:r w:rsidR="00EE341B" w:rsidRPr="00912697">
        <w:t xml:space="preserve"> </w:t>
      </w:r>
      <w:r w:rsidR="00EE341B" w:rsidRPr="00FE74B2">
        <w:t xml:space="preserve">σημειωθεί ότι, εάν </w:t>
      </w:r>
      <w:r w:rsidR="00EE341B" w:rsidRPr="00FE74B2">
        <w:rPr>
          <w:u w:val="single"/>
        </w:rPr>
        <w:t>δεν</w:t>
      </w:r>
      <w:r w:rsidR="00EE341B" w:rsidRPr="00FE74B2">
        <w:t xml:space="preserve"> ληφθούν υπόψη οι επιπτώσεις από την εφαρμογή του </w:t>
      </w:r>
      <w:r w:rsidR="00EE341B" w:rsidRPr="00FE74B2">
        <w:rPr>
          <w:b/>
        </w:rPr>
        <w:t xml:space="preserve">νόμου περί </w:t>
      </w:r>
      <w:proofErr w:type="spellStart"/>
      <w:r w:rsidR="00EE341B" w:rsidRPr="00FE74B2">
        <w:rPr>
          <w:b/>
        </w:rPr>
        <w:t>clawback</w:t>
      </w:r>
      <w:proofErr w:type="spellEnd"/>
      <w:r w:rsidR="00EE341B" w:rsidRPr="00FE74B2">
        <w:rPr>
          <w:b/>
        </w:rPr>
        <w:t xml:space="preserve"> και </w:t>
      </w:r>
      <w:proofErr w:type="spellStart"/>
      <w:r w:rsidR="00EE341B" w:rsidRPr="00FE74B2">
        <w:rPr>
          <w:b/>
        </w:rPr>
        <w:t>rebate</w:t>
      </w:r>
      <w:proofErr w:type="spellEnd"/>
      <w:r w:rsidR="00EE341B" w:rsidRPr="00FE74B2">
        <w:t>, τότε εκτιμάται ότι το ποσοστό μείωσης της συνολικής αξίας της αγοράς των γενικών και μαιευτικών κλινικών θα ήταν σαφώς χαμηλότερο</w:t>
      </w:r>
      <w:r w:rsidR="00CA73FA" w:rsidRPr="00FE74B2">
        <w:t xml:space="preserve"> το 2013/12.</w:t>
      </w:r>
      <w:r w:rsidR="00E46822" w:rsidRPr="00FE74B2">
        <w:t xml:space="preserve"> </w:t>
      </w:r>
      <w:r w:rsidR="00EE341B" w:rsidRPr="00FE74B2">
        <w:t xml:space="preserve">Επίσης, η αξίας της αγοράς των ιδιωτικών διαγνωστικών κέντρων, εκτιμάται ότι θα κατέγραφε θετικό ρυθμό μεταβολής. Οι </w:t>
      </w:r>
      <w:r w:rsidR="00EE341B" w:rsidRPr="00FE74B2">
        <w:rPr>
          <w:b/>
        </w:rPr>
        <w:t>γενικές κλινικές</w:t>
      </w:r>
      <w:r w:rsidR="00EE341B" w:rsidRPr="00FE74B2">
        <w:t xml:space="preserve"> αποσπούν το μεγαλύτερο μερίδιο στο σύνολο της αγοράς των ιδιωτικών υπηρεσιών υγείας, το οποίο εκτιμάται στο </w:t>
      </w:r>
      <w:r w:rsidR="00EE341B" w:rsidRPr="00FE74B2">
        <w:rPr>
          <w:b/>
        </w:rPr>
        <w:t>61%</w:t>
      </w:r>
      <w:r w:rsidR="00EE341B" w:rsidRPr="00FE74B2">
        <w:t xml:space="preserve"> περίπου. Οι </w:t>
      </w:r>
      <w:r w:rsidR="00EE341B" w:rsidRPr="00FE74B2">
        <w:rPr>
          <w:b/>
        </w:rPr>
        <w:t>μαιευτικές κλινικές</w:t>
      </w:r>
      <w:r w:rsidR="00EE341B" w:rsidRPr="00FE74B2">
        <w:t xml:space="preserve"> συγκεντρώνουν περίπου το </w:t>
      </w:r>
      <w:r w:rsidR="00EE341B" w:rsidRPr="00FE74B2">
        <w:rPr>
          <w:b/>
        </w:rPr>
        <w:t>14%</w:t>
      </w:r>
      <w:r w:rsidR="00EE341B" w:rsidRPr="00FE74B2">
        <w:t xml:space="preserve"> των συνολικών εσόδων, ενώ το υπόλοιπο </w:t>
      </w:r>
      <w:r w:rsidR="00EE341B" w:rsidRPr="00FE74B2">
        <w:rPr>
          <w:b/>
        </w:rPr>
        <w:t>25%</w:t>
      </w:r>
      <w:r w:rsidR="00EE341B" w:rsidRPr="00FE74B2">
        <w:t xml:space="preserve"> μοιράζονται τα ιδιωτικά </w:t>
      </w:r>
      <w:r w:rsidR="00EE341B" w:rsidRPr="00FE74B2">
        <w:rPr>
          <w:b/>
        </w:rPr>
        <w:t>διαγνωστικά κέντρα</w:t>
      </w:r>
      <w:r w:rsidR="00EE341B" w:rsidRPr="00FE74B2">
        <w:t xml:space="preserve">. Οι </w:t>
      </w:r>
      <w:proofErr w:type="spellStart"/>
      <w:r w:rsidR="00EE341B" w:rsidRPr="00FE74B2">
        <w:t>νευροψυχιατρικές</w:t>
      </w:r>
      <w:proofErr w:type="spellEnd"/>
      <w:r w:rsidR="00EE341B" w:rsidRPr="00FE74B2">
        <w:t xml:space="preserve"> κλινικές αντιπροσωπεύουν το 9% περίπου της αγοράς των γενικών κλινικών.</w:t>
      </w:r>
      <w:r w:rsidR="00AB66E0" w:rsidRPr="00FE74B2">
        <w:t xml:space="preserve"> </w:t>
      </w:r>
    </w:p>
    <w:p w:rsidR="00D51088" w:rsidRPr="009E253F" w:rsidRDefault="00600E6D" w:rsidP="009E253F">
      <w:r w:rsidRPr="009E253F">
        <w:t>Σύμφωνα με τα αποτελέσματα της Κλαδικής Μελέτης, η περιφέρεια της</w:t>
      </w:r>
      <w:r w:rsidRPr="009E253F">
        <w:rPr>
          <w:b/>
        </w:rPr>
        <w:t xml:space="preserve"> πρωτεύουσας </w:t>
      </w:r>
      <w:r w:rsidRPr="009E253F">
        <w:t>παρουσιάζει την μεγαλύτερη</w:t>
      </w:r>
      <w:r w:rsidRPr="009E253F">
        <w:rPr>
          <w:b/>
        </w:rPr>
        <w:t xml:space="preserve"> συγκέντρωση, </w:t>
      </w:r>
      <w:r w:rsidRPr="009E253F">
        <w:t>καθώς</w:t>
      </w:r>
      <w:r w:rsidRPr="009E253F">
        <w:rPr>
          <w:b/>
        </w:rPr>
        <w:t xml:space="preserve"> </w:t>
      </w:r>
      <w:r w:rsidRPr="009E253F">
        <w:t xml:space="preserve">σ’ αυτήν βρίσκεται συγκεντρωμένο το </w:t>
      </w:r>
      <w:r w:rsidRPr="009E253F">
        <w:rPr>
          <w:b/>
        </w:rPr>
        <w:t>43% περίπου</w:t>
      </w:r>
      <w:r w:rsidRPr="009E253F">
        <w:t xml:space="preserve"> του συνόλου των νοσοκομειακών κλινών. Αναφορικά δε με τις κλίνες των </w:t>
      </w:r>
      <w:r w:rsidRPr="009E253F">
        <w:rPr>
          <w:b/>
        </w:rPr>
        <w:t>ιδιωτικών θεραπευτηρίων</w:t>
      </w:r>
      <w:r w:rsidRPr="009E253F">
        <w:t xml:space="preserve">, στην περιφέρεια της </w:t>
      </w:r>
      <w:r w:rsidRPr="009E253F">
        <w:rPr>
          <w:b/>
        </w:rPr>
        <w:t>Πρωτεύουσας</w:t>
      </w:r>
      <w:r w:rsidRPr="009E253F">
        <w:t xml:space="preserve"> είναι συγκεντρωμένο περίπου το </w:t>
      </w:r>
      <w:r w:rsidRPr="009E253F">
        <w:rPr>
          <w:b/>
        </w:rPr>
        <w:t>ήμισυ</w:t>
      </w:r>
      <w:r w:rsidRPr="009E253F">
        <w:t xml:space="preserve"> των ιδιωτικών κλινών της χώρας. Σε σχέση με την κατηγοριοποίηση των θεραπευτηρίων ανά κατηγορία, όσον αφορά στα θεραπευτήρια του </w:t>
      </w:r>
      <w:r w:rsidRPr="009E253F">
        <w:rPr>
          <w:b/>
        </w:rPr>
        <w:t>ιδιωτικού τομέα</w:t>
      </w:r>
      <w:r w:rsidRPr="009E253F">
        <w:t xml:space="preserve">, στα </w:t>
      </w:r>
      <w:r w:rsidRPr="009E253F">
        <w:rPr>
          <w:b/>
        </w:rPr>
        <w:t>Γενικά θεραπευτήρια</w:t>
      </w:r>
      <w:r w:rsidRPr="009E253F">
        <w:t xml:space="preserve"> αντιστοιχεί το </w:t>
      </w:r>
      <w:r w:rsidRPr="009E253F">
        <w:rPr>
          <w:b/>
        </w:rPr>
        <w:t xml:space="preserve">53% </w:t>
      </w:r>
      <w:r w:rsidRPr="009E253F">
        <w:t xml:space="preserve">περίπου των ιδιωτικών κλινικών της χώρας. </w:t>
      </w:r>
    </w:p>
    <w:p w:rsidR="00FE74B2" w:rsidRPr="009E253F" w:rsidRDefault="00D51088" w:rsidP="009E253F">
      <w:r w:rsidRPr="009E253F">
        <w:t>Ο κος Παλαιολόγος αναφέρει ότι τα</w:t>
      </w:r>
      <w:r w:rsidR="00600E6D" w:rsidRPr="009E253F">
        <w:t xml:space="preserve"> τελευταία 10-15 έτη παρατηρήθηκαν σημαντικές </w:t>
      </w:r>
      <w:r w:rsidR="00600E6D" w:rsidRPr="009E253F">
        <w:rPr>
          <w:b/>
        </w:rPr>
        <w:t>ανακατατάξεις</w:t>
      </w:r>
      <w:r w:rsidR="00600E6D" w:rsidRPr="009E253F">
        <w:t xml:space="preserve"> στο χώρο των ιδιωτικών θεραπευτηρίων, καθώς μικρές περιφερειακές μονάδες απορροφήθηκαν, εξαγοράσθηκαν ή συγχωνεύτηκαν με μεγαλύτερες. Επιπλέον, σε ορισμένες περιπτώσεις μεγάλες μονάδες του κλάδου απέκτησαν διεθνή χαρακτήρα επεκτείνοντας τις εργασίες τους και σε χώρες του εξωτερικού. Από την μία πλευρά η δυσκολία των περισσότερων μικρών μονάδων του κλάδου να ανταποκριθούν στη ραγδαία εξέλιξη της ιατρικής τεχνολογίας και από την άλλη το πολύ υψηλό κόστος κατασκευής και εξοπλισμού μιας νέας θεραπευτικής μονάδας σε συνδυασμό με το ισχύον θεσμικό πλαίσιο, αποτέλεσαν τους δύο βασικούς λόγους που οδήγησαν στη στρατηγική των εξαγορών – συγχωνεύσεων - απορροφήσεων των μικρότερων από μεγαλύτερες επιχειρήσεις.   Όσον αφορά τα </w:t>
      </w:r>
      <w:r w:rsidR="00600E6D" w:rsidRPr="009E253F">
        <w:rPr>
          <w:b/>
          <w:bCs/>
        </w:rPr>
        <w:t xml:space="preserve">διαγνωστικά κέντρα, </w:t>
      </w:r>
      <w:r w:rsidR="00600E6D" w:rsidRPr="009E253F">
        <w:t xml:space="preserve">αυτά διαδραματίζουν σημαντικό ρόλο στη διάγνωση και πρόληψη των ασθενειών. Με τη σύγχρονη υλικοτεχνική υποδομή και με το εξειδικευμένο προσωπικό που διαθέτουν, είναι σε θέση να παρέχουν υπηρεσίες υψηλής ποιότητας σε </w:t>
      </w:r>
      <w:r w:rsidR="00600E6D" w:rsidRPr="009E253F">
        <w:lastRenderedPageBreak/>
        <w:t>σύντομο χρονικό διάστημα. Τα ιατρικά – διαγνωστικά κέντρα υποστηρίζουν στο έργο τους και τα δημόσια ή ιδιωτικά νοσηλευτικά ιδρύματα. Σημαντικός είναι ο αριθμός των ιδιωτικών διαγνωστικών κέντρων που λειτουργούν σήμερα στη χώρα, αρκετά εκ των οποίων ανήκουν σε μεγ</w:t>
      </w:r>
      <w:r w:rsidR="009E253F">
        <w:t>άλους επιχειρηματικούς ομίλους.</w:t>
      </w:r>
    </w:p>
    <w:p w:rsidR="00600E6D" w:rsidRPr="009E253F" w:rsidRDefault="00D51088" w:rsidP="009E253F">
      <w:r w:rsidRPr="009E253F">
        <w:t xml:space="preserve">Η κα </w:t>
      </w:r>
      <w:proofErr w:type="spellStart"/>
      <w:r w:rsidRPr="009E253F">
        <w:t>Παντελαίου</w:t>
      </w:r>
      <w:proofErr w:type="spellEnd"/>
      <w:r w:rsidRPr="009E253F">
        <w:t xml:space="preserve"> σημειώνει ότι ο</w:t>
      </w:r>
      <w:r w:rsidR="00600E6D" w:rsidRPr="009E253F">
        <w:t xml:space="preserve">ι ιδιωτικές επιχειρήσεις παροχής υπηρεσιών υγείας διαφοροποιούνται μεταξύ τους βάσει ορισμένων χαρακτηριστικών, τόσο ποιοτικών όσο και ποσοτικών. Τα βασικά </w:t>
      </w:r>
      <w:r w:rsidR="00600E6D" w:rsidRPr="009E253F">
        <w:rPr>
          <w:b/>
        </w:rPr>
        <w:t>πεδία ανταγωνισμού</w:t>
      </w:r>
      <w:r w:rsidR="00600E6D" w:rsidRPr="009E253F">
        <w:t xml:space="preserve"> μεταξύ των ιδιωτικών μονάδων υγείας εστιάζονται στο επίπεδο του </w:t>
      </w:r>
      <w:proofErr w:type="spellStart"/>
      <w:r w:rsidR="00600E6D" w:rsidRPr="009E253F">
        <w:rPr>
          <w:b/>
        </w:rPr>
        <w:t>ιατροτεχνολογικού</w:t>
      </w:r>
      <w:proofErr w:type="spellEnd"/>
      <w:r w:rsidR="00600E6D" w:rsidRPr="009E253F">
        <w:rPr>
          <w:b/>
        </w:rPr>
        <w:t xml:space="preserve"> εξοπλισμού</w:t>
      </w:r>
      <w:r w:rsidR="00600E6D" w:rsidRPr="009E253F">
        <w:t xml:space="preserve"> που διαθέτουν, στην </w:t>
      </w:r>
      <w:r w:rsidR="00600E6D" w:rsidRPr="009E253F">
        <w:rPr>
          <w:b/>
        </w:rPr>
        <w:t xml:space="preserve">ποιότητα </w:t>
      </w:r>
      <w:r w:rsidR="00600E6D" w:rsidRPr="009E253F">
        <w:t xml:space="preserve">των υπηρεσιών που παρέχουν, στην </w:t>
      </w:r>
      <w:r w:rsidR="00600E6D" w:rsidRPr="009E253F">
        <w:rPr>
          <w:b/>
        </w:rPr>
        <w:t xml:space="preserve">ταχύτητα </w:t>
      </w:r>
      <w:r w:rsidR="00600E6D" w:rsidRPr="009E253F">
        <w:t xml:space="preserve">των υπηρεσιών τους, στη </w:t>
      </w:r>
      <w:r w:rsidR="00600E6D" w:rsidRPr="009E253F">
        <w:rPr>
          <w:b/>
        </w:rPr>
        <w:t>συνεργασία</w:t>
      </w:r>
      <w:r w:rsidR="00600E6D" w:rsidRPr="009E253F">
        <w:t xml:space="preserve"> τους με τους διάφορους ασφαλιστικούς φορείς, στο εταιρικό τους </w:t>
      </w:r>
      <w:r w:rsidR="00600E6D" w:rsidRPr="009E253F">
        <w:rPr>
          <w:b/>
        </w:rPr>
        <w:t>μέγεθος</w:t>
      </w:r>
      <w:r w:rsidR="00600E6D" w:rsidRPr="009E253F">
        <w:t xml:space="preserve"> και βέβαια στην </w:t>
      </w:r>
      <w:r w:rsidR="00600E6D" w:rsidRPr="009E253F">
        <w:rPr>
          <w:b/>
        </w:rPr>
        <w:t>τιμολογιακή τους πολιτική</w:t>
      </w:r>
      <w:r w:rsidR="009E253F">
        <w:t xml:space="preserve">. </w:t>
      </w:r>
    </w:p>
    <w:p w:rsidR="009A2BE2" w:rsidRPr="00FE74B2" w:rsidRDefault="00702A97" w:rsidP="009E253F">
      <w:r w:rsidRPr="009E253F">
        <w:t xml:space="preserve">Εξετάζοντας τους </w:t>
      </w:r>
      <w:r w:rsidRPr="009E253F">
        <w:rPr>
          <w:b/>
        </w:rPr>
        <w:t>ισολογισμούς</w:t>
      </w:r>
      <w:r w:rsidRPr="009E253F">
        <w:t xml:space="preserve"> μεγάλων εταιρειών – ομίλων του κλάδου, διαπιστώνεται η </w:t>
      </w:r>
      <w:r w:rsidRPr="009E253F">
        <w:rPr>
          <w:b/>
        </w:rPr>
        <w:t>επιβάρυνση</w:t>
      </w:r>
      <w:r w:rsidRPr="009E253F">
        <w:t xml:space="preserve"> βασικών οικονομικών μεγεθών τους το 2013 συγκριτικά με το 2012, η οποία οφείλεται στην </w:t>
      </w:r>
      <w:r w:rsidRPr="009E253F">
        <w:rPr>
          <w:u w:val="single"/>
        </w:rPr>
        <w:t xml:space="preserve">«εφαρμογή του νόμου περί </w:t>
      </w:r>
      <w:r w:rsidRPr="009E253F">
        <w:rPr>
          <w:u w:val="single"/>
          <w:lang w:val="en-US"/>
        </w:rPr>
        <w:t>rebate</w:t>
      </w:r>
      <w:r w:rsidRPr="009E253F">
        <w:rPr>
          <w:u w:val="single"/>
        </w:rPr>
        <w:t xml:space="preserve"> και </w:t>
      </w:r>
      <w:proofErr w:type="spellStart"/>
      <w:r w:rsidRPr="009E253F">
        <w:rPr>
          <w:u w:val="single"/>
          <w:lang w:val="en-US"/>
        </w:rPr>
        <w:t>clawback</w:t>
      </w:r>
      <w:proofErr w:type="spellEnd"/>
      <w:r w:rsidRPr="009E253F">
        <w:rPr>
          <w:u w:val="single"/>
        </w:rPr>
        <w:t>»</w:t>
      </w:r>
      <w:r w:rsidR="00A07AEE" w:rsidRPr="009E253F">
        <w:t>. Αναλυτικότερα</w:t>
      </w:r>
      <w:r w:rsidR="00BF42F1" w:rsidRPr="009E253F">
        <w:t>,</w:t>
      </w:r>
      <w:r w:rsidR="00A07AEE" w:rsidRPr="009E253F">
        <w:t xml:space="preserve"> σημειώνονται τα παρακάτω ξεχωριστά για τις Γενικές, τις </w:t>
      </w:r>
      <w:r w:rsidR="00A07AEE" w:rsidRPr="009E253F">
        <w:rPr>
          <w:lang w:val="en-US"/>
        </w:rPr>
        <w:t>M</w:t>
      </w:r>
      <w:proofErr w:type="spellStart"/>
      <w:r w:rsidR="00A07AEE" w:rsidRPr="009E253F">
        <w:t>αιευτικές</w:t>
      </w:r>
      <w:proofErr w:type="spellEnd"/>
      <w:r w:rsidR="00A07AEE" w:rsidRPr="009E253F">
        <w:t xml:space="preserve"> – Γυναικολογικές Κλινικές και τα Διαγνωστικά Κέντρα:</w:t>
      </w:r>
      <w:r w:rsidRPr="009E253F">
        <w:t xml:space="preserve"> </w:t>
      </w:r>
    </w:p>
    <w:p w:rsidR="008C3712" w:rsidRDefault="008C3712" w:rsidP="009E253F">
      <w:pPr>
        <w:rPr>
          <w:b/>
        </w:rPr>
      </w:pPr>
    </w:p>
    <w:p w:rsidR="00702A97" w:rsidRPr="00FE74B2" w:rsidRDefault="00A07AEE" w:rsidP="009E253F">
      <w:pPr>
        <w:rPr>
          <w:b/>
        </w:rPr>
      </w:pPr>
      <w:r w:rsidRPr="00FE74B2">
        <w:rPr>
          <w:b/>
        </w:rPr>
        <w:t xml:space="preserve">Γενικές Κλινικές </w:t>
      </w:r>
    </w:p>
    <w:p w:rsidR="00A4426D" w:rsidRPr="004E7DEE" w:rsidRDefault="00A07AEE" w:rsidP="009E253F">
      <w:r w:rsidRPr="00FE74B2">
        <w:t xml:space="preserve">Αναλύοντας τους ισολογισμούς 77 εταιρειών λειτουργίας ιδιωτικών γενικών κλινικών για την 5ετία 2009-2013, </w:t>
      </w:r>
      <w:r w:rsidR="004C2919" w:rsidRPr="00FE74B2">
        <w:t>σ</w:t>
      </w:r>
      <w:r w:rsidR="00702A97" w:rsidRPr="00FE74B2">
        <w:t xml:space="preserve">χετικά με το </w:t>
      </w:r>
      <w:r w:rsidR="00702A97" w:rsidRPr="00FE74B2">
        <w:rPr>
          <w:b/>
        </w:rPr>
        <w:t>περιθώριο μικτού κέρδους</w:t>
      </w:r>
      <w:r w:rsidR="00702A97" w:rsidRPr="00FE74B2">
        <w:t>, ο μέσος</w:t>
      </w:r>
      <w:r w:rsidR="004C2919" w:rsidRPr="00FE74B2">
        <w:t xml:space="preserve"> δείκτης 5ετίας διαμορφώθηκε σε</w:t>
      </w:r>
      <w:r w:rsidR="00702A97" w:rsidRPr="00FE74B2">
        <w:t xml:space="preserve"> </w:t>
      </w:r>
      <w:r w:rsidR="00702A97" w:rsidRPr="00FE74B2">
        <w:rPr>
          <w:b/>
        </w:rPr>
        <w:t>18,51</w:t>
      </w:r>
      <w:r w:rsidR="004C2919" w:rsidRPr="00FE74B2">
        <w:rPr>
          <w:b/>
        </w:rPr>
        <w:t>%</w:t>
      </w:r>
      <w:r w:rsidR="004C2919" w:rsidRPr="00FE74B2">
        <w:t xml:space="preserve"> για το σύνολο των</w:t>
      </w:r>
      <w:r w:rsidR="00702A97" w:rsidRPr="00FE74B2">
        <w:t xml:space="preserve"> επιχε</w:t>
      </w:r>
      <w:r w:rsidR="004C2919" w:rsidRPr="00FE74B2">
        <w:t>ιρήσεων και</w:t>
      </w:r>
      <w:r w:rsidR="00702A97" w:rsidRPr="00FE74B2">
        <w:t xml:space="preserve"> παρουσιάζει </w:t>
      </w:r>
      <w:r w:rsidR="004C2919" w:rsidRPr="00FE74B2">
        <w:t>μείωση το 2013</w:t>
      </w:r>
      <w:r w:rsidR="00702A97" w:rsidRPr="00FE74B2">
        <w:t>.</w:t>
      </w:r>
      <w:r w:rsidR="004C2919" w:rsidRPr="00FE74B2">
        <w:t xml:space="preserve"> </w:t>
      </w:r>
      <w:r w:rsidR="00702A97" w:rsidRPr="00FE74B2">
        <w:t xml:space="preserve">Όσον αφορά την εξέλιξη του </w:t>
      </w:r>
      <w:r w:rsidR="00702A97" w:rsidRPr="00FE74B2">
        <w:rPr>
          <w:b/>
        </w:rPr>
        <w:t>περιθωρίου καθαρού κέρδους EBITDA</w:t>
      </w:r>
      <w:r w:rsidR="00BF42F1" w:rsidRPr="00FE74B2">
        <w:t>, το 2012 παρουσιά</w:t>
      </w:r>
      <w:r w:rsidR="00702A97" w:rsidRPr="00FE74B2">
        <w:t>ζεται η</w:t>
      </w:r>
      <w:r w:rsidR="004C2919" w:rsidRPr="00FE74B2">
        <w:t xml:space="preserve"> υψηλότερη τιμή</w:t>
      </w:r>
      <w:r w:rsidR="00697CCB" w:rsidRPr="00FE74B2">
        <w:t xml:space="preserve"> (21,9%)</w:t>
      </w:r>
      <w:r w:rsidR="004C2919" w:rsidRPr="00FE74B2">
        <w:t xml:space="preserve"> και</w:t>
      </w:r>
      <w:r w:rsidR="00702A97" w:rsidRPr="00FE74B2">
        <w:t xml:space="preserve"> διαμορφώθηκε σε </w:t>
      </w:r>
      <w:r w:rsidR="00702A97" w:rsidRPr="00FE74B2">
        <w:rPr>
          <w:b/>
        </w:rPr>
        <w:t>10,08</w:t>
      </w:r>
      <w:r w:rsidR="004C2919" w:rsidRPr="00FE74B2">
        <w:rPr>
          <w:b/>
        </w:rPr>
        <w:t>%</w:t>
      </w:r>
      <w:r w:rsidR="004C2919" w:rsidRPr="00FE74B2">
        <w:t xml:space="preserve"> για το σύνολο των εταιρειών</w:t>
      </w:r>
      <w:r w:rsidR="00702A97" w:rsidRPr="00FE74B2">
        <w:t xml:space="preserve">. Ο δείκτης </w:t>
      </w:r>
      <w:r w:rsidR="00702A97" w:rsidRPr="00FE74B2">
        <w:rPr>
          <w:b/>
        </w:rPr>
        <w:t>αποδοτικότητας ιδίων κεφαλαίων</w:t>
      </w:r>
      <w:r w:rsidR="00702A97" w:rsidRPr="00FE74B2">
        <w:t xml:space="preserve"> </w:t>
      </w:r>
      <w:r w:rsidR="004C2919" w:rsidRPr="00FE74B2">
        <w:t>ανήλθε</w:t>
      </w:r>
      <w:r w:rsidR="00702A97" w:rsidRPr="00FE74B2">
        <w:t xml:space="preserve"> (ως μέσος όρος) σε </w:t>
      </w:r>
      <w:r w:rsidR="00702A97" w:rsidRPr="00FE74B2">
        <w:rPr>
          <w:b/>
        </w:rPr>
        <w:t>5,05</w:t>
      </w:r>
      <w:r w:rsidR="004C2919" w:rsidRPr="00FE74B2">
        <w:rPr>
          <w:b/>
        </w:rPr>
        <w:t>%</w:t>
      </w:r>
      <w:r w:rsidR="00697CCB" w:rsidRPr="00FE74B2">
        <w:t>, ενώ</w:t>
      </w:r>
      <w:r w:rsidR="00702A97" w:rsidRPr="00FE74B2">
        <w:t xml:space="preserve"> </w:t>
      </w:r>
      <w:r w:rsidR="00697CCB" w:rsidRPr="00FE74B2">
        <w:t>η</w:t>
      </w:r>
      <w:r w:rsidR="00702A97" w:rsidRPr="00FE74B2">
        <w:t xml:space="preserve"> μέση </w:t>
      </w:r>
      <w:r w:rsidR="00702A97" w:rsidRPr="00FE74B2">
        <w:rPr>
          <w:b/>
        </w:rPr>
        <w:t>γενική</w:t>
      </w:r>
      <w:r w:rsidR="00702A97" w:rsidRPr="00FE74B2">
        <w:t xml:space="preserve"> </w:t>
      </w:r>
      <w:r w:rsidR="00702A97" w:rsidRPr="00FE74B2">
        <w:rPr>
          <w:b/>
        </w:rPr>
        <w:t>ρευστότητα</w:t>
      </w:r>
      <w:r w:rsidR="00702A97" w:rsidRPr="00FE74B2">
        <w:t xml:space="preserve"> των επιχειρήσεων για την τελευταία πενταετία κυμάνθηκε σε σχετικά ικανοποιητικά επίπεδα </w:t>
      </w:r>
      <w:r w:rsidR="00702A97" w:rsidRPr="00FE74B2">
        <w:rPr>
          <w:b/>
        </w:rPr>
        <w:t>(1,73)</w:t>
      </w:r>
      <w:r w:rsidR="00702A97" w:rsidRPr="00FE74B2">
        <w:t xml:space="preserve">. Ο μέσος όρος του λόγου </w:t>
      </w:r>
      <w:r w:rsidR="00702A97" w:rsidRPr="00FE74B2">
        <w:rPr>
          <w:b/>
        </w:rPr>
        <w:t>ξένων προς ίδια κεφάλαια</w:t>
      </w:r>
      <w:r w:rsidR="00702A97" w:rsidRPr="00FE74B2">
        <w:t>, κυμαίνεται, σε υψηλά επίπεδα, αν και τη διετία 2012-2013 διαμορφώθηκε σε χαμηλότερα επίπεδα, σε σχέ</w:t>
      </w:r>
      <w:r w:rsidR="004C2919" w:rsidRPr="00FE74B2">
        <w:t>ση με τα αμέσως προηγούμενα έτη</w:t>
      </w:r>
      <w:r w:rsidR="00702A97" w:rsidRPr="00FE74B2">
        <w:t xml:space="preserve">. Ο συγκεκριμένος δείκτης, ως μέσος όρος πενταετίας, διαμορφώθηκε </w:t>
      </w:r>
      <w:r w:rsidR="00702A97" w:rsidRPr="00FE74B2">
        <w:rPr>
          <w:b/>
        </w:rPr>
        <w:t>4,6:1</w:t>
      </w:r>
      <w:r w:rsidR="00702A97" w:rsidRPr="00FE74B2">
        <w:t xml:space="preserve"> στο σύνολο του δείγματος, υποδηλώνοντας σε γενικές γραμμές, εξάρτηση των εργασιών των επιχειρήσεων του κλάδου από ξένα κεφάλαια. </w:t>
      </w:r>
    </w:p>
    <w:p w:rsidR="009A2BE2" w:rsidRPr="00A4426D" w:rsidRDefault="007D5790" w:rsidP="009E253F">
      <w:r w:rsidRPr="00FE74B2">
        <w:t xml:space="preserve">Για τη σύνταξη του </w:t>
      </w:r>
      <w:r w:rsidRPr="00FE74B2">
        <w:rPr>
          <w:b/>
        </w:rPr>
        <w:t>ομαδοποιημένου ισολογισμού</w:t>
      </w:r>
      <w:r w:rsidRPr="00FE74B2">
        <w:t xml:space="preserve"> χρησιμοποιήθηκαν τα δεδομένα 57</w:t>
      </w:r>
      <w:r w:rsidR="00697CCB" w:rsidRPr="00FE74B2">
        <w:t xml:space="preserve"> εταιρειών ιδιωτικών κλινικών</w:t>
      </w:r>
      <w:r w:rsidRPr="00FE74B2">
        <w:t>.</w:t>
      </w:r>
      <w:r w:rsidR="00697CCB" w:rsidRPr="00FE74B2">
        <w:t xml:space="preserve"> </w:t>
      </w:r>
      <w:r w:rsidRPr="00FE74B2">
        <w:t xml:space="preserve">Το σύνολο του </w:t>
      </w:r>
      <w:r w:rsidRPr="00FE74B2">
        <w:rPr>
          <w:b/>
        </w:rPr>
        <w:t>ενεργητικού</w:t>
      </w:r>
      <w:r w:rsidRPr="00FE74B2">
        <w:t xml:space="preserve"> παρο</w:t>
      </w:r>
      <w:r w:rsidR="00BF42F1" w:rsidRPr="00FE74B2">
        <w:t>υσίασε</w:t>
      </w:r>
      <w:r w:rsidRPr="00FE74B2">
        <w:t xml:space="preserve"> ποσοστιαία μείωση 10%</w:t>
      </w:r>
      <w:r w:rsidR="00BF42F1" w:rsidRPr="00FE74B2">
        <w:t xml:space="preserve"> το 2013</w:t>
      </w:r>
      <w:r w:rsidRPr="00FE74B2">
        <w:t xml:space="preserve"> σε σχέση με το 2012</w:t>
      </w:r>
      <w:r w:rsidR="00BF42F1" w:rsidRPr="00FE74B2">
        <w:t>, ενώ τ</w:t>
      </w:r>
      <w:r w:rsidRPr="00FE74B2">
        <w:t xml:space="preserve">α </w:t>
      </w:r>
      <w:r w:rsidRPr="00FE74B2">
        <w:rPr>
          <w:b/>
        </w:rPr>
        <w:t>ίδια κεφάλαια</w:t>
      </w:r>
      <w:r w:rsidR="00BF42F1" w:rsidRPr="00FE74B2">
        <w:t xml:space="preserve"> κατέγραψαν</w:t>
      </w:r>
      <w:r w:rsidRPr="00FE74B2">
        <w:t xml:space="preserve"> </w:t>
      </w:r>
      <w:r w:rsidR="00BF42F1" w:rsidRPr="00FE74B2">
        <w:t>μείωση κατά 16,6% την ίδια περίοδο</w:t>
      </w:r>
      <w:r w:rsidRPr="00FE74B2">
        <w:t xml:space="preserve">. Οι συνολικές </w:t>
      </w:r>
      <w:r w:rsidRPr="00FE74B2">
        <w:rPr>
          <w:b/>
        </w:rPr>
        <w:t>πωλήσεις</w:t>
      </w:r>
      <w:r w:rsidRPr="00FE74B2">
        <w:t xml:space="preserve"> (έσοδα) των 57 εταιρειών του δείγματος μειώθηκαν κατά 25% το 2013 σε σχέση με το 2012, το δε </w:t>
      </w:r>
      <w:r w:rsidRPr="00FE74B2">
        <w:rPr>
          <w:b/>
        </w:rPr>
        <w:t>μικτό κέρδος</w:t>
      </w:r>
      <w:r w:rsidRPr="00FE74B2">
        <w:t xml:space="preserve"> μειώθηκε δραστικά (78,2%). Αποτέλεσμα αυτού ήταν η εμφάνιση </w:t>
      </w:r>
      <w:r w:rsidRPr="00FE74B2">
        <w:rPr>
          <w:b/>
        </w:rPr>
        <w:t>αρνητικού λειτουργικού αποτελέσματος</w:t>
      </w:r>
      <w:r w:rsidRPr="00FE74B2">
        <w:t xml:space="preserve"> το 2013 (από θετικό το 2012). Αναφορικά με το </w:t>
      </w:r>
      <w:r w:rsidRPr="00FE74B2">
        <w:rPr>
          <w:b/>
        </w:rPr>
        <w:t>τελικό καθαρό αποτέλεσμα</w:t>
      </w:r>
      <w:r w:rsidRPr="00FE74B2">
        <w:t xml:space="preserve"> των επιχειρήσεων, αυτό παρέμεινε ζημιογόνο και το 2013, αν και οι ζημίες μειώθηκαν (κατά </w:t>
      </w:r>
      <w:r w:rsidRPr="00FE74B2">
        <w:lastRenderedPageBreak/>
        <w:t>31%) λόγω της σημαντικότατης μείωσης των μη λειτουργικών εξόδων (κατά 78,5%). Σχετικά</w:t>
      </w:r>
      <w:r w:rsidR="00A4426D">
        <w:t xml:space="preserve"> </w:t>
      </w:r>
      <w:r w:rsidRPr="00FE74B2">
        <w:t xml:space="preserve">με τα </w:t>
      </w:r>
      <w:r w:rsidRPr="00FE74B2">
        <w:rPr>
          <w:b/>
        </w:rPr>
        <w:t xml:space="preserve">κέρδη </w:t>
      </w:r>
      <w:r w:rsidRPr="00FE74B2">
        <w:rPr>
          <w:b/>
          <w:lang w:val="en-US"/>
        </w:rPr>
        <w:t>EBITDA</w:t>
      </w:r>
      <w:r w:rsidRPr="00FE74B2">
        <w:t>, αυτά μειώθηκαν δραστικά την ίδια περίοδο.</w:t>
      </w:r>
      <w:bookmarkStart w:id="0" w:name="_Toc393361463"/>
      <w:bookmarkStart w:id="1" w:name="_Toc393436767"/>
      <w:bookmarkStart w:id="2" w:name="_Toc393449864"/>
      <w:r w:rsidR="00BF42F1" w:rsidRPr="00FE74B2">
        <w:t xml:space="preserve"> </w:t>
      </w:r>
      <w:r w:rsidR="00697CCB" w:rsidRPr="00FE74B2">
        <w:t>Ενδιαφέρον παρουσιάζουν</w:t>
      </w:r>
      <w:r w:rsidR="00A22D06" w:rsidRPr="00FE74B2">
        <w:t xml:space="preserve"> τα αποτελέσματα ορισμένων εταιρειών εκμετάλλευσης ιδιωτικών κλινικών, όπως αυτά διαμορφώθηκαν πριν και μετά τις </w:t>
      </w:r>
      <w:r w:rsidR="00A22D06" w:rsidRPr="00FE74B2">
        <w:rPr>
          <w:b/>
        </w:rPr>
        <w:t xml:space="preserve">προβλέψεις για </w:t>
      </w:r>
      <w:r w:rsidR="00A22D06" w:rsidRPr="00FE74B2">
        <w:rPr>
          <w:b/>
          <w:lang w:val="en-US"/>
        </w:rPr>
        <w:t>rebate</w:t>
      </w:r>
      <w:r w:rsidR="00A22D06" w:rsidRPr="00FE74B2">
        <w:rPr>
          <w:b/>
        </w:rPr>
        <w:t xml:space="preserve"> και </w:t>
      </w:r>
      <w:proofErr w:type="spellStart"/>
      <w:r w:rsidR="00A22D06" w:rsidRPr="00FE74B2">
        <w:rPr>
          <w:b/>
          <w:lang w:val="en-US"/>
        </w:rPr>
        <w:t>clawback</w:t>
      </w:r>
      <w:proofErr w:type="spellEnd"/>
      <w:r w:rsidR="00A22D06" w:rsidRPr="00FE74B2">
        <w:t xml:space="preserve"> σύμφωνα με το άρθρο 100 του νόμου 4172/2013.</w:t>
      </w:r>
      <w:bookmarkEnd w:id="0"/>
      <w:bookmarkEnd w:id="1"/>
      <w:bookmarkEnd w:id="2"/>
      <w:r w:rsidR="00697CCB" w:rsidRPr="00FE74B2">
        <w:t xml:space="preserve"> Ειδικότερα,</w:t>
      </w:r>
      <w:r w:rsidR="00A22D06" w:rsidRPr="00FE74B2">
        <w:t xml:space="preserve"> </w:t>
      </w:r>
      <w:bookmarkStart w:id="3" w:name="_Toc393361464"/>
      <w:bookmarkStart w:id="4" w:name="_Toc393436768"/>
      <w:bookmarkStart w:id="5" w:name="_Toc393449865"/>
      <w:r w:rsidR="00A22D06" w:rsidRPr="00FE74B2">
        <w:t xml:space="preserve">συγκρίνοντας τον κύκλο εργασιών έξι επιχειρήσεων εκμετάλλευσης ιδιωτικών γενικών κλινικών το 2013 (προ και μετά </w:t>
      </w:r>
      <w:r w:rsidR="00A22D06" w:rsidRPr="00FE74B2">
        <w:rPr>
          <w:lang w:val="en-US"/>
        </w:rPr>
        <w:t>rebate</w:t>
      </w:r>
      <w:r w:rsidR="00A22D06" w:rsidRPr="00FE74B2">
        <w:t xml:space="preserve"> και </w:t>
      </w:r>
      <w:proofErr w:type="spellStart"/>
      <w:r w:rsidR="00A22D06" w:rsidRPr="00FE74B2">
        <w:rPr>
          <w:lang w:val="en-US"/>
        </w:rPr>
        <w:t>clawback</w:t>
      </w:r>
      <w:proofErr w:type="spellEnd"/>
      <w:r w:rsidR="00A22D06" w:rsidRPr="00FE74B2">
        <w:t>) σε σχέ</w:t>
      </w:r>
      <w:r w:rsidR="00697CCB" w:rsidRPr="00FE74B2">
        <w:t>ση με το 2012, παρατηρείται ότι,</w:t>
      </w:r>
      <w:r w:rsidR="00A22D06" w:rsidRPr="00FE74B2">
        <w:t xml:space="preserve"> το 2013 το σύνολο του </w:t>
      </w:r>
      <w:r w:rsidR="00A22D06" w:rsidRPr="00FE74B2">
        <w:rPr>
          <w:b/>
        </w:rPr>
        <w:t>κύκλου εργασιών</w:t>
      </w:r>
      <w:r w:rsidR="00A22D06" w:rsidRPr="00FE74B2">
        <w:t xml:space="preserve"> προ </w:t>
      </w:r>
      <w:r w:rsidR="00A22D06" w:rsidRPr="00FE74B2">
        <w:rPr>
          <w:lang w:val="en-US"/>
        </w:rPr>
        <w:t>rebate</w:t>
      </w:r>
      <w:r w:rsidR="00A22D06" w:rsidRPr="00FE74B2">
        <w:t xml:space="preserve"> – </w:t>
      </w:r>
      <w:proofErr w:type="spellStart"/>
      <w:r w:rsidR="00A22D06" w:rsidRPr="00FE74B2">
        <w:rPr>
          <w:lang w:val="en-US"/>
        </w:rPr>
        <w:t>clawback</w:t>
      </w:r>
      <w:proofErr w:type="spellEnd"/>
      <w:r w:rsidR="00A22D06" w:rsidRPr="00FE74B2">
        <w:t xml:space="preserve"> καταγράφει μείωση 16,1%, ενώ μετά τις προβλέψεις </w:t>
      </w:r>
      <w:r w:rsidR="00A22D06" w:rsidRPr="00FE74B2">
        <w:rPr>
          <w:lang w:val="en-US"/>
        </w:rPr>
        <w:t>rebate</w:t>
      </w:r>
      <w:r w:rsidR="00A22D06" w:rsidRPr="00FE74B2">
        <w:t xml:space="preserve"> – </w:t>
      </w:r>
      <w:proofErr w:type="spellStart"/>
      <w:r w:rsidR="00A22D06" w:rsidRPr="00FE74B2">
        <w:rPr>
          <w:lang w:val="en-US"/>
        </w:rPr>
        <w:t>clawback</w:t>
      </w:r>
      <w:proofErr w:type="spellEnd"/>
      <w:r w:rsidR="00A22D06" w:rsidRPr="00FE74B2">
        <w:t xml:space="preserve"> η μείωση των πωλήσεων διαμορφώνεται σε 30,7%. </w:t>
      </w:r>
      <w:bookmarkEnd w:id="3"/>
      <w:bookmarkEnd w:id="4"/>
      <w:bookmarkEnd w:id="5"/>
    </w:p>
    <w:p w:rsidR="008C3712" w:rsidRDefault="008C3712" w:rsidP="009E253F">
      <w:pPr>
        <w:rPr>
          <w:b/>
        </w:rPr>
      </w:pPr>
    </w:p>
    <w:p w:rsidR="00A22D06" w:rsidRPr="008C3712" w:rsidRDefault="00697CCB" w:rsidP="009E253F">
      <w:pPr>
        <w:rPr>
          <w:b/>
        </w:rPr>
      </w:pPr>
      <w:r w:rsidRPr="008C3712">
        <w:rPr>
          <w:b/>
        </w:rPr>
        <w:t>Μαιευτικές – Γυναικολογικές Κλινικές</w:t>
      </w:r>
    </w:p>
    <w:p w:rsidR="009E253F" w:rsidRPr="004E7DEE" w:rsidRDefault="00697CCB" w:rsidP="009E253F">
      <w:r w:rsidRPr="00FE74B2">
        <w:t>Όπως προκύπτει από τους ισολογισμούς 15 εταιρειών εκμετάλλευσης ιδιωτικών μαιευτικών – γυναικολογικών κλινικών, α</w:t>
      </w:r>
      <w:r w:rsidR="00A22D06" w:rsidRPr="00FE74B2">
        <w:t xml:space="preserve">υξομειώσεις παρουσιάζει το μέσο </w:t>
      </w:r>
      <w:r w:rsidR="00A22D06" w:rsidRPr="00FE74B2">
        <w:rPr>
          <w:b/>
        </w:rPr>
        <w:t>περιθώριο μικτού κέρδους</w:t>
      </w:r>
      <w:r w:rsidR="00A22D06" w:rsidRPr="00FE74B2">
        <w:t xml:space="preserve"> των επιχειρήσεων κατά την περίοδο 2009-2013, λόγω των σημαντικών διακυμάνσεων που παρουσιάζουν οι ετήσιοι δείκτες ορισμένων εταιρειών. Το μέσο περιθώριο 5ετίας διαμορφώθηκε σε αρνητικά επίπεδα </w:t>
      </w:r>
      <w:r w:rsidR="00A22D06" w:rsidRPr="00FE74B2">
        <w:rPr>
          <w:b/>
        </w:rPr>
        <w:t>(-3,23%).</w:t>
      </w:r>
      <w:r w:rsidR="00A22D06" w:rsidRPr="00FE74B2">
        <w:t xml:space="preserve"> Ο εν λόγω δείκτης παρουσιάζει</w:t>
      </w:r>
      <w:r w:rsidR="00844BB6" w:rsidRPr="00FE74B2">
        <w:t xml:space="preserve"> αρνητική τιμή το 2010 και 2011</w:t>
      </w:r>
      <w:r w:rsidR="00A22D06" w:rsidRPr="00FE74B2">
        <w:t xml:space="preserve"> και κ</w:t>
      </w:r>
      <w:r w:rsidR="00844BB6" w:rsidRPr="00FE74B2">
        <w:t>αθίσταται θετικός το 2012 και το 2013</w:t>
      </w:r>
      <w:r w:rsidR="00A22D06" w:rsidRPr="00FE74B2">
        <w:t xml:space="preserve">. Το μέσο ετήσιο </w:t>
      </w:r>
      <w:r w:rsidR="00A22D06" w:rsidRPr="00FE74B2">
        <w:rPr>
          <w:b/>
        </w:rPr>
        <w:t xml:space="preserve">περιθώριο καθαρού κέρδους </w:t>
      </w:r>
      <w:r w:rsidR="00A22D06" w:rsidRPr="00FE74B2">
        <w:rPr>
          <w:b/>
          <w:lang w:val="en-US"/>
        </w:rPr>
        <w:t>EBITDA</w:t>
      </w:r>
      <w:r w:rsidR="00A22D06" w:rsidRPr="00FE74B2">
        <w:t xml:space="preserve"> καθίστα</w:t>
      </w:r>
      <w:r w:rsidR="00844BB6" w:rsidRPr="00FE74B2">
        <w:t>ται αρνητικό τη διετία 2010-2012</w:t>
      </w:r>
      <w:r w:rsidR="00A22D06" w:rsidRPr="00FE74B2">
        <w:t xml:space="preserve">, ο δε μέσος δείκτης της 5ετίας διαμορφώθηκε σε αρνητικό επίπεδο </w:t>
      </w:r>
      <w:r w:rsidR="00A22D06" w:rsidRPr="00FE74B2">
        <w:rPr>
          <w:b/>
        </w:rPr>
        <w:t>(-3,63%).</w:t>
      </w:r>
      <w:r w:rsidR="00A22D06" w:rsidRPr="00FE74B2">
        <w:t xml:space="preserve"> Οι μέσοι ετήσιοι </w:t>
      </w:r>
      <w:r w:rsidR="00A22D06" w:rsidRPr="00FE74B2">
        <w:rPr>
          <w:b/>
        </w:rPr>
        <w:t>δείκτες αποδοτικότητας ιδίου και απασχολουμένου κεφαλαίου</w:t>
      </w:r>
      <w:r w:rsidR="00A22D06" w:rsidRPr="00FE74B2">
        <w:t xml:space="preserve"> των 15 εταιρειών παρουσιάζουν έντονες διακυμάνσεις την εξεταζόμενη χρονική περίοδο, επηρεαζόμενοι από τις ακραίες τιμές που εμφανίζουν ορισμένες εταιρείες σε κάποια έτη. Πάντως, ο μέσος όρος πενταετίας των 15 εταιρειών διαμορφώθηκε σε αρνητικά επίπεδα τόσο για την αποδοτικότητα ιδίων κεφαλαίων </w:t>
      </w:r>
      <w:r w:rsidR="00A22D06" w:rsidRPr="00FE74B2">
        <w:rPr>
          <w:b/>
        </w:rPr>
        <w:t>(-7,09%)</w:t>
      </w:r>
      <w:r w:rsidR="00A22D06" w:rsidRPr="00FE74B2">
        <w:t xml:space="preserve"> όσο και για την αποδοτικότητα απασχολουμένων κεφαλαίων </w:t>
      </w:r>
      <w:r w:rsidR="00A22D06" w:rsidRPr="00FE74B2">
        <w:rPr>
          <w:b/>
        </w:rPr>
        <w:t xml:space="preserve">(-15,64%). </w:t>
      </w:r>
      <w:r w:rsidR="00A22D06" w:rsidRPr="00FE74B2">
        <w:t xml:space="preserve">Η μέση </w:t>
      </w:r>
      <w:r w:rsidR="00A22D06" w:rsidRPr="00FE74B2">
        <w:rPr>
          <w:b/>
        </w:rPr>
        <w:t>γενική</w:t>
      </w:r>
      <w:r w:rsidR="00A22D06" w:rsidRPr="00FE74B2">
        <w:t xml:space="preserve"> </w:t>
      </w:r>
      <w:r w:rsidR="00A22D06" w:rsidRPr="00FE74B2">
        <w:rPr>
          <w:b/>
        </w:rPr>
        <w:t>ρευστότητα</w:t>
      </w:r>
      <w:r w:rsidR="00A22D06" w:rsidRPr="00FE74B2">
        <w:t xml:space="preserve"> των επιχειρήσεων για την τελευταία πενταετία διαμορφώθηκε σε σχετικά μέτρια επίπεδα </w:t>
      </w:r>
      <w:r w:rsidR="00A22D06" w:rsidRPr="00FE74B2">
        <w:rPr>
          <w:b/>
        </w:rPr>
        <w:t xml:space="preserve">(1,36). </w:t>
      </w:r>
      <w:r w:rsidR="00A22D06" w:rsidRPr="00FE74B2">
        <w:t xml:space="preserve">Ο μέσος όρος του λόγου </w:t>
      </w:r>
      <w:r w:rsidR="00A22D06" w:rsidRPr="00FE74B2">
        <w:rPr>
          <w:b/>
        </w:rPr>
        <w:t>ξένων προς ίδια κεφάλαια</w:t>
      </w:r>
      <w:r w:rsidR="00A22D06" w:rsidRPr="00FE74B2">
        <w:t xml:space="preserve"> για τις 15 εταιρείες του δείγματος κατά την πενταετία 2009-2013 ανήλθε σε </w:t>
      </w:r>
      <w:r w:rsidR="00A22D06" w:rsidRPr="00FE74B2">
        <w:rPr>
          <w:b/>
        </w:rPr>
        <w:t>2,34:1</w:t>
      </w:r>
      <w:r w:rsidR="00A22D06" w:rsidRPr="00FE74B2">
        <w:t>.</w:t>
      </w:r>
    </w:p>
    <w:p w:rsidR="009A2BE2" w:rsidRPr="008C3712" w:rsidRDefault="00844BB6" w:rsidP="009E253F">
      <w:r w:rsidRPr="009E253F">
        <w:t xml:space="preserve">Για τη σύνταξη του </w:t>
      </w:r>
      <w:r w:rsidRPr="009E253F">
        <w:rPr>
          <w:b/>
        </w:rPr>
        <w:t>ομαδοποιημένου ισολογισμού</w:t>
      </w:r>
      <w:r w:rsidRPr="009E253F">
        <w:t xml:space="preserve"> της διετίας 2012-2013</w:t>
      </w:r>
      <w:r w:rsidR="00A22D06" w:rsidRPr="009E253F">
        <w:t xml:space="preserve"> χρησιμοποιήθηκαν τα δεδομένα 10 εταιρειών.</w:t>
      </w:r>
      <w:r w:rsidRPr="009E253F">
        <w:t xml:space="preserve"> Από την ανάλυση δε του εν</w:t>
      </w:r>
      <w:r w:rsidR="00C47D0A" w:rsidRPr="009E253F">
        <w:t xml:space="preserve"> λόγω ισολογισμού, προκύπτει</w:t>
      </w:r>
      <w:r w:rsidRPr="009E253F">
        <w:t xml:space="preserve"> για</w:t>
      </w:r>
      <w:r w:rsidR="00A22D06" w:rsidRPr="009E253F">
        <w:t xml:space="preserve"> σύνολο του</w:t>
      </w:r>
      <w:r w:rsidR="00A22D06" w:rsidRPr="009E253F">
        <w:rPr>
          <w:b/>
        </w:rPr>
        <w:t xml:space="preserve"> ενεργητικού</w:t>
      </w:r>
      <w:r w:rsidR="00A22D06" w:rsidRPr="009E253F">
        <w:t xml:space="preserve"> μείωση 5,5%</w:t>
      </w:r>
      <w:r w:rsidR="00C47D0A" w:rsidRPr="009E253F">
        <w:t xml:space="preserve"> το 2013</w:t>
      </w:r>
      <w:r w:rsidR="00A22D06" w:rsidRPr="009E253F">
        <w:t xml:space="preserve"> σε σχέση με το 2012, λόγω κυρίως της μείωσης των απαιτήσεων</w:t>
      </w:r>
      <w:r w:rsidR="00C47D0A" w:rsidRPr="009E253F">
        <w:t>, ενώ για τ</w:t>
      </w:r>
      <w:r w:rsidR="00A22D06" w:rsidRPr="009E253F">
        <w:t xml:space="preserve">α </w:t>
      </w:r>
      <w:r w:rsidR="00A22D06" w:rsidRPr="009E253F">
        <w:rPr>
          <w:b/>
        </w:rPr>
        <w:t>ίδια κεφάλαια</w:t>
      </w:r>
      <w:r w:rsidR="00C47D0A" w:rsidRPr="009E253F">
        <w:t xml:space="preserve"> η</w:t>
      </w:r>
      <w:r w:rsidR="00A22D06" w:rsidRPr="009E253F">
        <w:t xml:space="preserve"> μείωση</w:t>
      </w:r>
      <w:r w:rsidR="00C47D0A" w:rsidRPr="009E253F">
        <w:t xml:space="preserve"> ήταν 13,5%</w:t>
      </w:r>
      <w:r w:rsidR="00A22D06" w:rsidRPr="009E253F">
        <w:t xml:space="preserve">. Οι συνολικές </w:t>
      </w:r>
      <w:r w:rsidR="00A22D06" w:rsidRPr="009E253F">
        <w:rPr>
          <w:b/>
        </w:rPr>
        <w:t>πωλήσεις</w:t>
      </w:r>
      <w:r w:rsidR="00A22D06" w:rsidRPr="009E253F">
        <w:t xml:space="preserve"> (έσοδα) των 10 εταιρειών του δείγματος μειώθηκαν κατά 14,4% το 2013 σε σχέση με το 2012, ενώ σημαντικότατη ήταν η μείωση για το μικτό κέρδος. Το </w:t>
      </w:r>
      <w:r w:rsidR="00A22D06" w:rsidRPr="009E253F">
        <w:rPr>
          <w:b/>
        </w:rPr>
        <w:t>καθαρό αποτέλεσμα</w:t>
      </w:r>
      <w:r w:rsidR="00A22D06" w:rsidRPr="009E253F">
        <w:t xml:space="preserve"> παρέμεινε ζημιογόνο και τα δύο έτη, ωστόσο οι ζημίες μειώθηκαν το 2013 σε σχέση με το 2012 κατά 38,4%. Δραστική μείωση παρουσίασαν τα </w:t>
      </w:r>
      <w:r w:rsidR="00A22D06" w:rsidRPr="009E253F">
        <w:rPr>
          <w:b/>
        </w:rPr>
        <w:t xml:space="preserve">κέρδη </w:t>
      </w:r>
      <w:r w:rsidR="00A22D06" w:rsidRPr="009E253F">
        <w:rPr>
          <w:b/>
          <w:lang w:val="en-US"/>
        </w:rPr>
        <w:t>EBITDA</w:t>
      </w:r>
      <w:r w:rsidR="00A22D06" w:rsidRPr="009E253F">
        <w:t xml:space="preserve"> των εταιρειών του δείγματος το 2013.</w:t>
      </w:r>
      <w:bookmarkStart w:id="6" w:name="_Toc393361480"/>
      <w:bookmarkStart w:id="7" w:name="_Toc393436784"/>
      <w:bookmarkStart w:id="8" w:name="_Toc393449881"/>
      <w:r w:rsidR="00C47D0A" w:rsidRPr="009E253F">
        <w:t xml:space="preserve"> </w:t>
      </w:r>
      <w:bookmarkStart w:id="9" w:name="_Toc393361481"/>
      <w:bookmarkStart w:id="10" w:name="_Toc393436785"/>
      <w:bookmarkStart w:id="11" w:name="_Toc393449882"/>
      <w:bookmarkEnd w:id="6"/>
      <w:bookmarkEnd w:id="7"/>
      <w:bookmarkEnd w:id="8"/>
      <w:r w:rsidR="00CE08D1" w:rsidRPr="009E253F">
        <w:t>Σ</w:t>
      </w:r>
      <w:r w:rsidR="00A22D06" w:rsidRPr="009E253F">
        <w:t>υγ</w:t>
      </w:r>
      <w:r w:rsidR="00CE08D1" w:rsidRPr="009E253F">
        <w:t>κρίνοντας τον κύκλο εργασιών</w:t>
      </w:r>
      <w:r w:rsidR="00A22D06" w:rsidRPr="009E253F">
        <w:t xml:space="preserve"> τεσσάρων επιχειρήσεων εκμετάλλευσης ιδιωτικών μαιευτικών – γυναικολογικών κλινικών το 2013 (προ και μετά </w:t>
      </w:r>
      <w:r w:rsidR="00A22D06" w:rsidRPr="009E253F">
        <w:rPr>
          <w:b/>
          <w:lang w:val="en-US"/>
        </w:rPr>
        <w:t>rebate</w:t>
      </w:r>
      <w:r w:rsidR="00A22D06" w:rsidRPr="009E253F">
        <w:rPr>
          <w:b/>
        </w:rPr>
        <w:t xml:space="preserve"> και </w:t>
      </w:r>
      <w:proofErr w:type="spellStart"/>
      <w:r w:rsidR="00A22D06" w:rsidRPr="009E253F">
        <w:rPr>
          <w:b/>
          <w:lang w:val="en-US"/>
        </w:rPr>
        <w:t>clawback</w:t>
      </w:r>
      <w:proofErr w:type="spellEnd"/>
      <w:r w:rsidR="00A22D06" w:rsidRPr="009E253F">
        <w:t xml:space="preserve">) σε σχέση με το 2012, παρατηρείται ότι, το 2013 προ </w:t>
      </w:r>
      <w:r w:rsidR="00A22D06" w:rsidRPr="009E253F">
        <w:rPr>
          <w:lang w:val="en-US"/>
        </w:rPr>
        <w:lastRenderedPageBreak/>
        <w:t>rebate</w:t>
      </w:r>
      <w:r w:rsidR="00A22D06" w:rsidRPr="009E253F">
        <w:t xml:space="preserve"> – </w:t>
      </w:r>
      <w:proofErr w:type="spellStart"/>
      <w:r w:rsidR="00A22D06" w:rsidRPr="009E253F">
        <w:rPr>
          <w:lang w:val="en-US"/>
        </w:rPr>
        <w:t>clawback</w:t>
      </w:r>
      <w:proofErr w:type="spellEnd"/>
      <w:r w:rsidR="00A22D06" w:rsidRPr="009E253F">
        <w:t xml:space="preserve"> το σύνολο του κύκλου εργασιών καταγράφει μείωση μόλις 1,2%, ενώ μετά το </w:t>
      </w:r>
      <w:r w:rsidR="00A22D06" w:rsidRPr="009E253F">
        <w:rPr>
          <w:lang w:val="en-US"/>
        </w:rPr>
        <w:t>rebate</w:t>
      </w:r>
      <w:r w:rsidR="00A22D06" w:rsidRPr="009E253F">
        <w:t xml:space="preserve"> – </w:t>
      </w:r>
      <w:proofErr w:type="spellStart"/>
      <w:r w:rsidR="00A22D06" w:rsidRPr="009E253F">
        <w:rPr>
          <w:lang w:val="en-US"/>
        </w:rPr>
        <w:t>clawback</w:t>
      </w:r>
      <w:proofErr w:type="spellEnd"/>
      <w:r w:rsidR="00A22D06" w:rsidRPr="009E253F">
        <w:t xml:space="preserve"> η μείωση των πωλήσεων διαμορφώνεται σε 16,5%. </w:t>
      </w:r>
      <w:bookmarkEnd w:id="9"/>
      <w:bookmarkEnd w:id="10"/>
      <w:bookmarkEnd w:id="11"/>
    </w:p>
    <w:p w:rsidR="008C3712" w:rsidRDefault="008C3712" w:rsidP="009E253F">
      <w:pPr>
        <w:rPr>
          <w:b/>
        </w:rPr>
      </w:pPr>
    </w:p>
    <w:p w:rsidR="0020755F" w:rsidRPr="008C3712" w:rsidRDefault="00CE08D1" w:rsidP="009E253F">
      <w:pPr>
        <w:rPr>
          <w:b/>
        </w:rPr>
      </w:pPr>
      <w:r w:rsidRPr="008C3712">
        <w:rPr>
          <w:b/>
        </w:rPr>
        <w:t>Διαγνωστικά Κέντρα</w:t>
      </w:r>
    </w:p>
    <w:p w:rsidR="009A2BE2" w:rsidRPr="009E253F" w:rsidRDefault="00CE08D1" w:rsidP="009E253F">
      <w:pPr>
        <w:rPr>
          <w:rFonts w:eastAsia="Times New Roman"/>
          <w:w w:val="95"/>
        </w:rPr>
      </w:pPr>
      <w:r w:rsidRPr="009E253F">
        <w:rPr>
          <w:rFonts w:eastAsia="Times New Roman"/>
          <w:w w:val="95"/>
        </w:rPr>
        <w:t>Εξετάζοντας τους ισολογισμούς 84 εταιρειών λειτουργίας ιδιωτικών διαγνωστικών κέντρων για την περίοδο 2009-2013, τ</w:t>
      </w:r>
      <w:r w:rsidR="0020755F" w:rsidRPr="009E253F">
        <w:rPr>
          <w:rFonts w:eastAsia="Times New Roman"/>
          <w:w w:val="95"/>
        </w:rPr>
        <w:t xml:space="preserve">ο μέσο ετήσιο  </w:t>
      </w:r>
      <w:r w:rsidR="0020755F" w:rsidRPr="009E253F">
        <w:rPr>
          <w:rFonts w:eastAsia="Times New Roman"/>
          <w:b/>
          <w:w w:val="95"/>
        </w:rPr>
        <w:t>περιθώριο μικτού κέρδους</w:t>
      </w:r>
      <w:r w:rsidR="0020755F" w:rsidRPr="009E253F">
        <w:rPr>
          <w:rFonts w:eastAsia="Times New Roman"/>
          <w:w w:val="95"/>
        </w:rPr>
        <w:t xml:space="preserve"> των 84 επιχειρήσεων του δείγματος διαμορφώθηκε σε </w:t>
      </w:r>
      <w:r w:rsidR="0020755F" w:rsidRPr="009E253F">
        <w:rPr>
          <w:rFonts w:eastAsia="Times New Roman"/>
          <w:b/>
          <w:w w:val="95"/>
        </w:rPr>
        <w:t>40,92%</w:t>
      </w:r>
      <w:r w:rsidR="0020755F" w:rsidRPr="009E253F">
        <w:rPr>
          <w:rFonts w:eastAsia="Times New Roman"/>
          <w:w w:val="95"/>
        </w:rPr>
        <w:t xml:space="preserve"> κατά την</w:t>
      </w:r>
      <w:r w:rsidRPr="009E253F">
        <w:rPr>
          <w:rFonts w:eastAsia="Times New Roman"/>
          <w:w w:val="95"/>
        </w:rPr>
        <w:t xml:space="preserve"> συγκεκριμένη περίοδο</w:t>
      </w:r>
      <w:r w:rsidR="0020755F" w:rsidRPr="009E253F">
        <w:rPr>
          <w:rFonts w:eastAsia="Times New Roman"/>
          <w:w w:val="95"/>
        </w:rPr>
        <w:t>, ενώ</w:t>
      </w:r>
      <w:r w:rsidRPr="009E253F">
        <w:rPr>
          <w:rFonts w:eastAsia="Times New Roman"/>
          <w:w w:val="95"/>
        </w:rPr>
        <w:t xml:space="preserve"> σ</w:t>
      </w:r>
      <w:r w:rsidR="0020755F" w:rsidRPr="009E253F">
        <w:rPr>
          <w:rFonts w:eastAsia="Times New Roman"/>
          <w:w w:val="95"/>
        </w:rPr>
        <w:t xml:space="preserve">ε ικανοποιητικά επίπεδα </w:t>
      </w:r>
      <w:r w:rsidRPr="009E253F">
        <w:rPr>
          <w:rFonts w:eastAsia="Times New Roman"/>
          <w:w w:val="95"/>
        </w:rPr>
        <w:t>κυμάνθηκε</w:t>
      </w:r>
      <w:r w:rsidR="0020755F" w:rsidRPr="009E253F">
        <w:rPr>
          <w:rFonts w:eastAsia="Times New Roman"/>
          <w:w w:val="95"/>
        </w:rPr>
        <w:t xml:space="preserve"> το μέσο </w:t>
      </w:r>
      <w:r w:rsidR="0020755F" w:rsidRPr="009E253F">
        <w:rPr>
          <w:rFonts w:eastAsia="Times New Roman"/>
          <w:b/>
          <w:w w:val="95"/>
        </w:rPr>
        <w:t>περιθώριο καθαρού κέρδους EBITDA</w:t>
      </w:r>
      <w:r w:rsidR="0020755F" w:rsidRPr="009E253F">
        <w:rPr>
          <w:rFonts w:eastAsia="Times New Roman"/>
          <w:w w:val="95"/>
        </w:rPr>
        <w:t xml:space="preserve"> την εξεταζόμενη περίοδο, το οποίο</w:t>
      </w:r>
      <w:r w:rsidRPr="009E253F">
        <w:rPr>
          <w:rFonts w:eastAsia="Times New Roman"/>
          <w:w w:val="95"/>
        </w:rPr>
        <w:t xml:space="preserve"> και διαμορφώθηκε σε</w:t>
      </w:r>
      <w:r w:rsidR="0020755F" w:rsidRPr="009E253F">
        <w:rPr>
          <w:rFonts w:eastAsia="Times New Roman"/>
          <w:w w:val="95"/>
        </w:rPr>
        <w:t xml:space="preserve"> </w:t>
      </w:r>
      <w:r w:rsidR="0020755F" w:rsidRPr="009E253F">
        <w:rPr>
          <w:rFonts w:eastAsia="Times New Roman"/>
          <w:b/>
          <w:w w:val="95"/>
        </w:rPr>
        <w:t>21,76%</w:t>
      </w:r>
      <w:r w:rsidR="0020755F" w:rsidRPr="009E253F">
        <w:rPr>
          <w:rFonts w:eastAsia="Times New Roman"/>
          <w:w w:val="95"/>
        </w:rPr>
        <w:t>.</w:t>
      </w:r>
      <w:r w:rsidR="0099637E" w:rsidRPr="009E253F">
        <w:rPr>
          <w:rFonts w:eastAsia="Times New Roman"/>
          <w:w w:val="95"/>
        </w:rPr>
        <w:t xml:space="preserve"> Ο μέσος δείκτης </w:t>
      </w:r>
      <w:r w:rsidR="0099637E" w:rsidRPr="009E253F">
        <w:rPr>
          <w:rFonts w:eastAsia="Times New Roman"/>
          <w:b/>
          <w:w w:val="95"/>
        </w:rPr>
        <w:t>αποδοτικότητας ιδίων κεφαλαίων</w:t>
      </w:r>
      <w:r w:rsidR="0099637E" w:rsidRPr="009E253F">
        <w:rPr>
          <w:rFonts w:eastAsia="Times New Roman"/>
          <w:w w:val="95"/>
        </w:rPr>
        <w:t xml:space="preserve"> των διαγνωστικών κέντρων κυμάνθηκε σε σχετικά υψηλά επίπεδα κατά τη διάρκεια της εξεταζόμενης περιόδου</w:t>
      </w:r>
      <w:r w:rsidRPr="009E253F">
        <w:rPr>
          <w:rFonts w:eastAsia="Times New Roman"/>
          <w:w w:val="95"/>
        </w:rPr>
        <w:t xml:space="preserve"> (</w:t>
      </w:r>
      <w:r w:rsidRPr="009E253F">
        <w:rPr>
          <w:rFonts w:eastAsia="Times New Roman"/>
          <w:b/>
          <w:w w:val="95"/>
        </w:rPr>
        <w:t>44,45%</w:t>
      </w:r>
      <w:r w:rsidRPr="009E253F">
        <w:rPr>
          <w:rFonts w:eastAsia="Times New Roman"/>
          <w:w w:val="95"/>
        </w:rPr>
        <w:t>)</w:t>
      </w:r>
      <w:r w:rsidR="0099637E" w:rsidRPr="009E253F">
        <w:rPr>
          <w:rFonts w:eastAsia="Times New Roman"/>
          <w:w w:val="95"/>
        </w:rPr>
        <w:t xml:space="preserve">, καταγράφοντας ωστόσο σημαντική μείωση το 2011 και 2013 συγκριτικά με τα προηγούμενα έτη. Η μέση </w:t>
      </w:r>
      <w:r w:rsidR="0099637E" w:rsidRPr="009E253F">
        <w:rPr>
          <w:rFonts w:eastAsia="Times New Roman"/>
          <w:b/>
          <w:w w:val="95"/>
        </w:rPr>
        <w:t>γενική ρευστότητα</w:t>
      </w:r>
      <w:r w:rsidR="0099637E" w:rsidRPr="009E253F">
        <w:rPr>
          <w:rFonts w:eastAsia="Times New Roman"/>
          <w:w w:val="95"/>
        </w:rPr>
        <w:t xml:space="preserve"> των επιχειρήσεων του δείγματος την τελευταία πενταετία διαμορφώθηκε σε ικανοποιητικά</w:t>
      </w:r>
      <w:r w:rsidR="00C63454" w:rsidRPr="009E253F">
        <w:rPr>
          <w:rFonts w:eastAsia="Times New Roman"/>
          <w:w w:val="95"/>
        </w:rPr>
        <w:t xml:space="preserve"> επίπεδα και συγκεκριμένα σε</w:t>
      </w:r>
      <w:r w:rsidR="0099637E" w:rsidRPr="009E253F">
        <w:rPr>
          <w:rFonts w:eastAsia="Times New Roman"/>
          <w:w w:val="95"/>
        </w:rPr>
        <w:t xml:space="preserve"> </w:t>
      </w:r>
      <w:r w:rsidR="0099637E" w:rsidRPr="009E253F">
        <w:rPr>
          <w:rFonts w:eastAsia="Times New Roman"/>
          <w:b/>
          <w:w w:val="95"/>
        </w:rPr>
        <w:t>1,99</w:t>
      </w:r>
      <w:r w:rsidR="0099637E" w:rsidRPr="009E253F">
        <w:rPr>
          <w:rFonts w:eastAsia="Times New Roman"/>
          <w:w w:val="95"/>
        </w:rPr>
        <w:t xml:space="preserve"> για το σύνολο του δείγματος των 84 εταιρειών.</w:t>
      </w:r>
      <w:r w:rsidR="00C63454" w:rsidRPr="009E253F">
        <w:rPr>
          <w:rFonts w:eastAsia="Times New Roman"/>
          <w:w w:val="95"/>
        </w:rPr>
        <w:t xml:space="preserve"> Τέλος,</w:t>
      </w:r>
      <w:r w:rsidR="0099637E" w:rsidRPr="009E253F">
        <w:rPr>
          <w:rFonts w:eastAsia="Times New Roman"/>
          <w:w w:val="95"/>
        </w:rPr>
        <w:t xml:space="preserve"> </w:t>
      </w:r>
      <w:r w:rsidR="00C63454" w:rsidRPr="009E253F">
        <w:rPr>
          <w:rFonts w:eastAsia="Times New Roman"/>
          <w:w w:val="95"/>
        </w:rPr>
        <w:t>ο</w:t>
      </w:r>
      <w:r w:rsidR="0099637E" w:rsidRPr="009E253F">
        <w:rPr>
          <w:rFonts w:eastAsia="Times New Roman"/>
          <w:w w:val="95"/>
        </w:rPr>
        <w:t xml:space="preserve"> μέσος όρος του λόγου </w:t>
      </w:r>
      <w:r w:rsidR="0099637E" w:rsidRPr="009E253F">
        <w:rPr>
          <w:rFonts w:eastAsia="Times New Roman"/>
          <w:b/>
          <w:w w:val="95"/>
        </w:rPr>
        <w:t>ξένων προς ίδια κεφάλαια</w:t>
      </w:r>
      <w:r w:rsidR="0099637E" w:rsidRPr="009E253F">
        <w:rPr>
          <w:rFonts w:eastAsia="Times New Roman"/>
          <w:w w:val="95"/>
        </w:rPr>
        <w:t xml:space="preserve"> διαμορφώθηκε σε </w:t>
      </w:r>
      <w:r w:rsidR="00C63454" w:rsidRPr="009E253F">
        <w:rPr>
          <w:rFonts w:eastAsia="Times New Roman"/>
          <w:b/>
          <w:w w:val="95"/>
        </w:rPr>
        <w:t>3,2</w:t>
      </w:r>
      <w:r w:rsidR="0099637E" w:rsidRPr="009E253F">
        <w:rPr>
          <w:rFonts w:eastAsia="Times New Roman"/>
          <w:b/>
          <w:w w:val="95"/>
        </w:rPr>
        <w:t>1:1</w:t>
      </w:r>
      <w:r w:rsidR="0099637E" w:rsidRPr="009E253F">
        <w:rPr>
          <w:rFonts w:eastAsia="Times New Roman"/>
          <w:w w:val="95"/>
        </w:rPr>
        <w:t>.</w:t>
      </w:r>
      <w:r w:rsidR="00F7588F" w:rsidRPr="009E253F">
        <w:rPr>
          <w:rFonts w:eastAsia="Times New Roman"/>
          <w:w w:val="95"/>
        </w:rPr>
        <w:t xml:space="preserve"> </w:t>
      </w:r>
    </w:p>
    <w:p w:rsidR="0099637E" w:rsidRPr="009E253F" w:rsidRDefault="0099637E" w:rsidP="009E253F">
      <w:r w:rsidRPr="009E253F">
        <w:t xml:space="preserve">Για τη σύνταξη του </w:t>
      </w:r>
      <w:r w:rsidRPr="009E253F">
        <w:rPr>
          <w:b/>
        </w:rPr>
        <w:t>ομαδοποιημένου ισολογισμού</w:t>
      </w:r>
      <w:r w:rsidR="00C63454" w:rsidRPr="009E253F">
        <w:t xml:space="preserve"> 2012-2013</w:t>
      </w:r>
      <w:r w:rsidRPr="009E253F">
        <w:t xml:space="preserve"> των ιδιωτικών διαγνωστικών κέντρων χρησιμοποιήθηκαν τα δεδομένα 53</w:t>
      </w:r>
      <w:r w:rsidR="00C63454" w:rsidRPr="009E253F">
        <w:t xml:space="preserve"> εταιρειών και από </w:t>
      </w:r>
      <w:r w:rsidRPr="009E253F">
        <w:t>την ανάλυση</w:t>
      </w:r>
      <w:r w:rsidR="00C63454" w:rsidRPr="009E253F">
        <w:t xml:space="preserve"> αυτή</w:t>
      </w:r>
      <w:r w:rsidRPr="009E253F">
        <w:t xml:space="preserve"> </w:t>
      </w:r>
      <w:r w:rsidR="00C47D0A" w:rsidRPr="009E253F">
        <w:t>προκύπτει για</w:t>
      </w:r>
      <w:r w:rsidR="00C63454" w:rsidRPr="009E253F">
        <w:t xml:space="preserve"> το </w:t>
      </w:r>
      <w:r w:rsidRPr="009E253F">
        <w:t xml:space="preserve">σύνολο του </w:t>
      </w:r>
      <w:r w:rsidRPr="009E253F">
        <w:rPr>
          <w:b/>
        </w:rPr>
        <w:t>ενεργητικού</w:t>
      </w:r>
      <w:r w:rsidRPr="009E253F">
        <w:t xml:space="preserve"> μείωση 2,2%</w:t>
      </w:r>
      <w:r w:rsidR="00C47D0A" w:rsidRPr="009E253F">
        <w:t xml:space="preserve"> το 2013</w:t>
      </w:r>
      <w:r w:rsidRPr="009E253F">
        <w:t xml:space="preserve"> σε σχέση με το 2012 γεγονός που οφείλεται στη μείωση</w:t>
      </w:r>
      <w:r w:rsidR="00D55A66" w:rsidRPr="009E253F">
        <w:t xml:space="preserve"> των απαιτήσεων, ενώ τ</w:t>
      </w:r>
      <w:r w:rsidRPr="009E253F">
        <w:t xml:space="preserve">α </w:t>
      </w:r>
      <w:r w:rsidRPr="009E253F">
        <w:rPr>
          <w:b/>
        </w:rPr>
        <w:t>ίδια κεφάλαια</w:t>
      </w:r>
      <w:r w:rsidRPr="009E253F">
        <w:t xml:space="preserve"> δεν μεταβλήθηκαν σημαν</w:t>
      </w:r>
      <w:r w:rsidR="00D55A66" w:rsidRPr="009E253F">
        <w:t>τικά</w:t>
      </w:r>
      <w:r w:rsidRPr="009E253F">
        <w:t xml:space="preserve">. Οι συνολικές </w:t>
      </w:r>
      <w:r w:rsidRPr="009E253F">
        <w:rPr>
          <w:b/>
        </w:rPr>
        <w:t xml:space="preserve">πωλήσεις </w:t>
      </w:r>
      <w:r w:rsidRPr="009E253F">
        <w:t xml:space="preserve">(έσοδα) των 53 εταιρειών του δείγματος μειώθηκαν κατά 7,7% το 2013 σε σχέση με το 2012. Μεγαλύτερη ήταν η μείωση στο </w:t>
      </w:r>
      <w:r w:rsidRPr="009E253F">
        <w:rPr>
          <w:b/>
        </w:rPr>
        <w:t>μικτό κέρδος</w:t>
      </w:r>
      <w:r w:rsidRPr="009E253F">
        <w:t xml:space="preserve"> (17%) την ίδια περίοδο. Το τελικό καθαρό (προ φόρου) αποτέλεσμα ήταν </w:t>
      </w:r>
      <w:r w:rsidRPr="009E253F">
        <w:rPr>
          <w:b/>
        </w:rPr>
        <w:t xml:space="preserve">κερδοφόρο </w:t>
      </w:r>
      <w:r w:rsidRPr="009E253F">
        <w:t xml:space="preserve">και τα δύο εξεταζόμενα έτη, μειωμένο όμως κατά 27,6% το 2013 σε σχέση με το 2012. Τα </w:t>
      </w:r>
      <w:r w:rsidRPr="009E253F">
        <w:rPr>
          <w:b/>
        </w:rPr>
        <w:t>κέρδη EBITDA</w:t>
      </w:r>
      <w:r w:rsidRPr="009E253F">
        <w:t xml:space="preserve"> των εταιρειών του δείγματος μειώθηκαν κατά 18,4%. </w:t>
      </w:r>
    </w:p>
    <w:p w:rsidR="0099637E" w:rsidRPr="009E253F" w:rsidRDefault="0099637E" w:rsidP="009E253F">
      <w:pPr>
        <w:rPr>
          <w:lang w:val="en-US"/>
        </w:rPr>
      </w:pPr>
    </w:p>
    <w:p w:rsidR="00FE74B2" w:rsidRDefault="00FE74B2" w:rsidP="00597AB7">
      <w:pPr>
        <w:spacing w:after="0" w:line="360" w:lineRule="auto"/>
        <w:ind w:firstLine="720"/>
        <w:rPr>
          <w:rFonts w:ascii="Arial" w:hAnsi="Arial" w:cs="Arial"/>
          <w:sz w:val="20"/>
          <w:szCs w:val="20"/>
          <w:lang w:val="en-US"/>
        </w:rPr>
      </w:pPr>
    </w:p>
    <w:p w:rsidR="00FE74B2" w:rsidRDefault="00FE74B2" w:rsidP="00597AB7">
      <w:pPr>
        <w:spacing w:after="0" w:line="360" w:lineRule="auto"/>
        <w:ind w:firstLine="720"/>
        <w:rPr>
          <w:rFonts w:ascii="Arial" w:hAnsi="Arial" w:cs="Arial"/>
          <w:sz w:val="20"/>
          <w:szCs w:val="20"/>
          <w:lang w:val="en-US"/>
        </w:rPr>
      </w:pPr>
    </w:p>
    <w:tbl>
      <w:tblPr>
        <w:tblpPr w:leftFromText="180" w:rightFromText="180" w:vertAnchor="text" w:horzAnchor="margin" w:tblpYSpec="outside"/>
        <w:tblW w:w="86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ayout w:type="fixed"/>
        <w:tblLook w:val="00A0" w:firstRow="1" w:lastRow="0" w:firstColumn="1" w:lastColumn="0" w:noHBand="0" w:noVBand="0"/>
      </w:tblPr>
      <w:tblGrid>
        <w:gridCol w:w="4395"/>
        <w:gridCol w:w="4252"/>
      </w:tblGrid>
      <w:tr w:rsidR="009E253F" w:rsidRPr="007270B4" w:rsidTr="009E253F">
        <w:trPr>
          <w:trHeight w:val="57"/>
        </w:trPr>
        <w:tc>
          <w:tcPr>
            <w:tcW w:w="4395" w:type="dxa"/>
            <w:shd w:val="clear" w:color="auto" w:fill="0070C0"/>
            <w:vAlign w:val="center"/>
          </w:tcPr>
          <w:p w:rsidR="009E253F" w:rsidRPr="00E40C65" w:rsidRDefault="009E253F" w:rsidP="009E253F">
            <w:pPr>
              <w:pStyle w:val="20100"/>
              <w:spacing w:before="0" w:after="0" w:line="276" w:lineRule="auto"/>
              <w:ind w:left="-426" w:firstLine="426"/>
              <w:rPr>
                <w:rFonts w:ascii="Tahoma" w:hAnsi="Tahoma" w:cs="Tahoma"/>
                <w:sz w:val="20"/>
                <w:szCs w:val="20"/>
              </w:rPr>
            </w:pPr>
            <w:r>
              <w:rPr>
                <w:rFonts w:ascii="Tahoma" w:hAnsi="Tahoma" w:cs="Tahoma"/>
                <w:sz w:val="20"/>
                <w:szCs w:val="20"/>
              </w:rPr>
              <w:lastRenderedPageBreak/>
              <w:t>Μέσοι δ</w:t>
            </w:r>
            <w:r w:rsidRPr="00E40C65">
              <w:rPr>
                <w:rFonts w:ascii="Tahoma" w:hAnsi="Tahoma" w:cs="Tahoma"/>
                <w:sz w:val="20"/>
                <w:szCs w:val="20"/>
              </w:rPr>
              <w:t>είκτες κερδοφορίας και αποδοτικότητας γενικών, μαιευτικών κλινικών και διαγνωστικών κέντρων</w:t>
            </w:r>
            <w:r>
              <w:rPr>
                <w:rFonts w:ascii="Tahoma" w:hAnsi="Tahoma" w:cs="Tahoma"/>
                <w:sz w:val="20"/>
                <w:szCs w:val="20"/>
              </w:rPr>
              <w:t xml:space="preserve"> </w:t>
            </w:r>
            <w:r w:rsidRPr="00E40C65">
              <w:rPr>
                <w:rFonts w:ascii="Tahoma" w:hAnsi="Tahoma" w:cs="Tahoma"/>
                <w:sz w:val="20"/>
                <w:szCs w:val="20"/>
              </w:rPr>
              <w:t>(</w:t>
            </w:r>
            <w:r>
              <w:rPr>
                <w:rFonts w:ascii="Tahoma" w:hAnsi="Tahoma" w:cs="Tahoma"/>
                <w:sz w:val="20"/>
                <w:szCs w:val="20"/>
              </w:rPr>
              <w:t>2009-</w:t>
            </w:r>
            <w:r w:rsidRPr="00E40C65">
              <w:rPr>
                <w:rFonts w:ascii="Tahoma" w:hAnsi="Tahoma" w:cs="Tahoma"/>
                <w:sz w:val="20"/>
                <w:szCs w:val="20"/>
              </w:rPr>
              <w:t>2013)</w:t>
            </w:r>
          </w:p>
        </w:tc>
        <w:tc>
          <w:tcPr>
            <w:tcW w:w="4252" w:type="dxa"/>
            <w:shd w:val="clear" w:color="auto" w:fill="0070C0"/>
            <w:vAlign w:val="center"/>
          </w:tcPr>
          <w:p w:rsidR="009E253F" w:rsidRPr="00E40C65" w:rsidRDefault="009E253F" w:rsidP="009E253F">
            <w:pPr>
              <w:pStyle w:val="20100"/>
              <w:spacing w:before="0" w:after="0" w:line="276" w:lineRule="auto"/>
              <w:ind w:left="-426" w:firstLine="426"/>
              <w:rPr>
                <w:rFonts w:ascii="Tahoma" w:hAnsi="Tahoma" w:cs="Tahoma"/>
                <w:sz w:val="20"/>
                <w:szCs w:val="20"/>
              </w:rPr>
            </w:pPr>
            <w:r>
              <w:rPr>
                <w:rFonts w:ascii="Tahoma" w:hAnsi="Tahoma" w:cs="Tahoma"/>
                <w:sz w:val="20"/>
                <w:szCs w:val="20"/>
              </w:rPr>
              <w:t>Μέσοι δ</w:t>
            </w:r>
            <w:r w:rsidRPr="00E40C65">
              <w:rPr>
                <w:rFonts w:ascii="Tahoma" w:hAnsi="Tahoma" w:cs="Tahoma"/>
                <w:sz w:val="20"/>
                <w:szCs w:val="20"/>
              </w:rPr>
              <w:t>είκτες γενικής ρευστότητας και σχέσης ξένων προς ίδια κεφάλαια γενικών, μαιευτικών κλινικών και διαγνωστικών κέντρων (</w:t>
            </w:r>
            <w:r>
              <w:rPr>
                <w:rFonts w:ascii="Tahoma" w:hAnsi="Tahoma" w:cs="Tahoma"/>
                <w:sz w:val="20"/>
                <w:szCs w:val="20"/>
              </w:rPr>
              <w:t>2009-</w:t>
            </w:r>
            <w:r w:rsidRPr="00E40C65">
              <w:rPr>
                <w:rFonts w:ascii="Tahoma" w:hAnsi="Tahoma" w:cs="Tahoma"/>
                <w:sz w:val="20"/>
                <w:szCs w:val="20"/>
              </w:rPr>
              <w:t>2013)</w:t>
            </w:r>
          </w:p>
        </w:tc>
      </w:tr>
      <w:tr w:rsidR="009E253F" w:rsidRPr="007270B4" w:rsidTr="009E253F">
        <w:trPr>
          <w:trHeight w:val="3203"/>
        </w:trPr>
        <w:tc>
          <w:tcPr>
            <w:tcW w:w="4395" w:type="dxa"/>
            <w:tcBorders>
              <w:bottom w:val="single" w:sz="4" w:space="0" w:color="C0C0C0"/>
            </w:tcBorders>
            <w:shd w:val="clear" w:color="auto" w:fill="FFFFFF"/>
            <w:vAlign w:val="center"/>
          </w:tcPr>
          <w:p w:rsidR="009E253F" w:rsidRPr="007270B4" w:rsidRDefault="009E253F" w:rsidP="009E253F">
            <w:pPr>
              <w:pStyle w:val="a4"/>
              <w:rPr>
                <w:rFonts w:ascii="Tahoma" w:hAnsi="Tahoma" w:cs="Tahoma"/>
                <w:szCs w:val="20"/>
              </w:rPr>
            </w:pPr>
            <w:r>
              <w:rPr>
                <w:rFonts w:ascii="Tahoma" w:hAnsi="Tahoma" w:cs="Tahoma"/>
                <w:noProof/>
                <w:szCs w:val="20"/>
                <w:lang w:eastAsia="el-GR"/>
              </w:rPr>
              <w:drawing>
                <wp:inline distT="0" distB="0" distL="0" distR="0" wp14:anchorId="1F043EB9" wp14:editId="00E6F9F4">
                  <wp:extent cx="2655570" cy="2055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5570" cy="2055495"/>
                          </a:xfrm>
                          <a:prstGeom prst="rect">
                            <a:avLst/>
                          </a:prstGeom>
                          <a:noFill/>
                          <a:ln>
                            <a:noFill/>
                          </a:ln>
                        </pic:spPr>
                      </pic:pic>
                    </a:graphicData>
                  </a:graphic>
                </wp:inline>
              </w:drawing>
            </w:r>
          </w:p>
        </w:tc>
        <w:tc>
          <w:tcPr>
            <w:tcW w:w="4252" w:type="dxa"/>
            <w:tcBorders>
              <w:bottom w:val="single" w:sz="4" w:space="0" w:color="C0C0C0"/>
            </w:tcBorders>
            <w:shd w:val="clear" w:color="auto" w:fill="FFFFFF"/>
            <w:vAlign w:val="center"/>
          </w:tcPr>
          <w:p w:rsidR="009E253F" w:rsidRPr="007270B4" w:rsidRDefault="009E253F" w:rsidP="009E253F">
            <w:pPr>
              <w:pStyle w:val="a4"/>
              <w:rPr>
                <w:rFonts w:ascii="Tahoma" w:hAnsi="Tahoma" w:cs="Tahoma"/>
                <w:szCs w:val="20"/>
              </w:rPr>
            </w:pPr>
            <w:r>
              <w:rPr>
                <w:rFonts w:ascii="Tahoma" w:hAnsi="Tahoma" w:cs="Tahoma"/>
                <w:noProof/>
                <w:szCs w:val="20"/>
                <w:lang w:eastAsia="el-GR"/>
              </w:rPr>
              <w:drawing>
                <wp:inline distT="0" distB="0" distL="0" distR="0" wp14:anchorId="380FC8B4" wp14:editId="50936AAC">
                  <wp:extent cx="2560320" cy="1945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0320" cy="1945640"/>
                          </a:xfrm>
                          <a:prstGeom prst="rect">
                            <a:avLst/>
                          </a:prstGeom>
                          <a:noFill/>
                          <a:ln>
                            <a:noFill/>
                          </a:ln>
                        </pic:spPr>
                      </pic:pic>
                    </a:graphicData>
                  </a:graphic>
                </wp:inline>
              </w:drawing>
            </w:r>
          </w:p>
        </w:tc>
      </w:tr>
      <w:tr w:rsidR="009E253F" w:rsidRPr="000A6207" w:rsidTr="009E253F">
        <w:trPr>
          <w:trHeight w:val="361"/>
        </w:trPr>
        <w:tc>
          <w:tcPr>
            <w:tcW w:w="8647" w:type="dxa"/>
            <w:gridSpan w:val="2"/>
            <w:tcBorders>
              <w:bottom w:val="single" w:sz="4" w:space="0" w:color="C0C0C0"/>
            </w:tcBorders>
            <w:shd w:val="clear" w:color="auto" w:fill="D9D9D9" w:themeFill="background1" w:themeFillShade="D9"/>
            <w:vAlign w:val="center"/>
          </w:tcPr>
          <w:p w:rsidR="009E253F" w:rsidRPr="001D77D7" w:rsidRDefault="009E253F" w:rsidP="009E253F">
            <w:pPr>
              <w:pStyle w:val="a4"/>
              <w:spacing w:line="240" w:lineRule="auto"/>
              <w:jc w:val="right"/>
              <w:rPr>
                <w:rFonts w:ascii="Tahoma" w:hAnsi="Tahoma" w:cs="Tahoma"/>
                <w:i/>
              </w:rPr>
            </w:pPr>
            <w:r w:rsidRPr="000A6207">
              <w:rPr>
                <w:rFonts w:ascii="Tahoma" w:hAnsi="Tahoma" w:cs="Tahoma"/>
                <w:i/>
              </w:rPr>
              <w:t>Πηγή</w:t>
            </w:r>
            <w:r w:rsidRPr="00D05A22">
              <w:rPr>
                <w:rFonts w:ascii="Tahoma" w:hAnsi="Tahoma" w:cs="Tahoma"/>
                <w:i/>
              </w:rPr>
              <w:t xml:space="preserve">: </w:t>
            </w:r>
            <w:r>
              <w:rPr>
                <w:rFonts w:ascii="Tahoma" w:hAnsi="Tahoma" w:cs="Tahoma"/>
                <w:i/>
              </w:rPr>
              <w:t xml:space="preserve">Κλαδική Μελέτη </w:t>
            </w:r>
            <w:r w:rsidRPr="000A6207">
              <w:rPr>
                <w:rFonts w:ascii="Tahoma" w:hAnsi="Tahoma" w:cs="Tahoma"/>
                <w:i/>
                <w:lang w:val="en-US"/>
              </w:rPr>
              <w:t>ICAP</w:t>
            </w:r>
            <w:r w:rsidRPr="00D05A22">
              <w:rPr>
                <w:rFonts w:ascii="Tahoma" w:hAnsi="Tahoma" w:cs="Tahoma"/>
                <w:i/>
              </w:rPr>
              <w:t xml:space="preserve"> </w:t>
            </w:r>
            <w:r w:rsidRPr="000A6207">
              <w:rPr>
                <w:rFonts w:ascii="Tahoma" w:hAnsi="Tahoma" w:cs="Tahoma"/>
                <w:i/>
                <w:lang w:val="en-US"/>
              </w:rPr>
              <w:t>Group</w:t>
            </w:r>
            <w:r w:rsidRPr="00D05A22">
              <w:rPr>
                <w:rFonts w:ascii="Tahoma" w:hAnsi="Tahoma" w:cs="Tahoma"/>
                <w:i/>
              </w:rPr>
              <w:t xml:space="preserve"> </w:t>
            </w:r>
            <w:r w:rsidRPr="000A6207">
              <w:rPr>
                <w:rFonts w:ascii="Tahoma" w:hAnsi="Tahoma" w:cs="Tahoma"/>
                <w:i/>
                <w:lang w:val="en-US"/>
              </w:rPr>
              <w:t>AE</w:t>
            </w:r>
          </w:p>
        </w:tc>
      </w:tr>
    </w:tbl>
    <w:p w:rsidR="00FE74B2" w:rsidRPr="004E7DEE" w:rsidRDefault="00FE74B2" w:rsidP="00597AB7">
      <w:pPr>
        <w:spacing w:after="0" w:line="360" w:lineRule="auto"/>
        <w:ind w:firstLine="720"/>
        <w:rPr>
          <w:rFonts w:ascii="Arial" w:hAnsi="Arial" w:cs="Arial"/>
          <w:sz w:val="20"/>
          <w:szCs w:val="20"/>
        </w:rPr>
      </w:pPr>
    </w:p>
    <w:p w:rsidR="00FE74B2" w:rsidRPr="004E7DEE" w:rsidRDefault="00FE74B2" w:rsidP="00597AB7">
      <w:pPr>
        <w:spacing w:after="0" w:line="360" w:lineRule="auto"/>
        <w:ind w:firstLine="720"/>
        <w:rPr>
          <w:rFonts w:ascii="Arial" w:hAnsi="Arial" w:cs="Arial"/>
          <w:sz w:val="20"/>
          <w:szCs w:val="20"/>
        </w:rPr>
      </w:pPr>
    </w:p>
    <w:p w:rsidR="00FE74B2" w:rsidRPr="004E7DEE" w:rsidRDefault="00FE74B2" w:rsidP="00597AB7">
      <w:pPr>
        <w:spacing w:after="0" w:line="360" w:lineRule="auto"/>
        <w:ind w:firstLine="720"/>
        <w:rPr>
          <w:rFonts w:ascii="Arial" w:hAnsi="Arial" w:cs="Arial"/>
          <w:sz w:val="20"/>
          <w:szCs w:val="20"/>
        </w:rPr>
      </w:pPr>
    </w:p>
    <w:tbl>
      <w:tblPr>
        <w:tblpPr w:leftFromText="180" w:rightFromText="180" w:vertAnchor="text" w:horzAnchor="margin" w:tblpY="354"/>
        <w:tblW w:w="86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ayout w:type="fixed"/>
        <w:tblLook w:val="00A0" w:firstRow="1" w:lastRow="0" w:firstColumn="1" w:lastColumn="0" w:noHBand="0" w:noVBand="0"/>
      </w:tblPr>
      <w:tblGrid>
        <w:gridCol w:w="8647"/>
      </w:tblGrid>
      <w:tr w:rsidR="009E253F" w:rsidRPr="007270B4" w:rsidTr="009E253F">
        <w:trPr>
          <w:trHeight w:val="57"/>
        </w:trPr>
        <w:tc>
          <w:tcPr>
            <w:tcW w:w="8647" w:type="dxa"/>
            <w:shd w:val="clear" w:color="auto" w:fill="0070C0"/>
            <w:vAlign w:val="center"/>
          </w:tcPr>
          <w:p w:rsidR="009E253F" w:rsidRPr="007270B4" w:rsidRDefault="009E253F" w:rsidP="009E253F">
            <w:pPr>
              <w:pStyle w:val="20100"/>
              <w:spacing w:before="0" w:after="0" w:line="276" w:lineRule="auto"/>
              <w:ind w:left="-426" w:firstLine="426"/>
              <w:rPr>
                <w:rFonts w:ascii="Tahoma" w:hAnsi="Tahoma" w:cs="Tahoma"/>
              </w:rPr>
            </w:pPr>
            <w:r>
              <w:rPr>
                <w:rFonts w:ascii="Tahoma" w:hAnsi="Tahoma" w:cs="Tahoma"/>
              </w:rPr>
              <w:t>Εξέλιξη βασικών λογαριασμών ομαδοποιημένου ισολογισμού γενικών, μαιευτικών κλινικών και διαγνωστικών κέντρων (2012-2013</w:t>
            </w:r>
            <w:r w:rsidRPr="007270B4">
              <w:rPr>
                <w:rFonts w:ascii="Tahoma" w:hAnsi="Tahoma" w:cs="Tahoma"/>
              </w:rPr>
              <w:t xml:space="preserve">) </w:t>
            </w:r>
          </w:p>
        </w:tc>
      </w:tr>
      <w:tr w:rsidR="009E253F" w:rsidRPr="007270B4" w:rsidTr="009E253F">
        <w:trPr>
          <w:trHeight w:val="3203"/>
        </w:trPr>
        <w:tc>
          <w:tcPr>
            <w:tcW w:w="8647" w:type="dxa"/>
            <w:tcBorders>
              <w:bottom w:val="single" w:sz="4" w:space="0" w:color="C0C0C0"/>
            </w:tcBorders>
            <w:shd w:val="clear" w:color="auto" w:fill="FFFFFF"/>
            <w:vAlign w:val="center"/>
          </w:tcPr>
          <w:p w:rsidR="009E253F" w:rsidRPr="007270B4" w:rsidRDefault="009E253F" w:rsidP="009E253F">
            <w:pPr>
              <w:pStyle w:val="a4"/>
              <w:rPr>
                <w:rFonts w:ascii="Tahoma" w:hAnsi="Tahoma" w:cs="Tahoma"/>
                <w:szCs w:val="20"/>
              </w:rPr>
            </w:pPr>
            <w:r>
              <w:rPr>
                <w:rFonts w:ascii="Tahoma" w:hAnsi="Tahoma" w:cs="Tahoma"/>
                <w:noProof/>
                <w:szCs w:val="20"/>
                <w:lang w:eastAsia="el-GR"/>
              </w:rPr>
              <w:drawing>
                <wp:inline distT="0" distB="0" distL="0" distR="0" wp14:anchorId="72878C4E" wp14:editId="551E839F">
                  <wp:extent cx="5354955" cy="2597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4955" cy="2597150"/>
                          </a:xfrm>
                          <a:prstGeom prst="rect">
                            <a:avLst/>
                          </a:prstGeom>
                          <a:noFill/>
                          <a:ln>
                            <a:noFill/>
                          </a:ln>
                        </pic:spPr>
                      </pic:pic>
                    </a:graphicData>
                  </a:graphic>
                </wp:inline>
              </w:drawing>
            </w:r>
          </w:p>
        </w:tc>
      </w:tr>
      <w:tr w:rsidR="009E253F" w:rsidRPr="000A6207" w:rsidTr="009E253F">
        <w:trPr>
          <w:trHeight w:val="361"/>
        </w:trPr>
        <w:tc>
          <w:tcPr>
            <w:tcW w:w="8647" w:type="dxa"/>
            <w:tcBorders>
              <w:bottom w:val="single" w:sz="4" w:space="0" w:color="C0C0C0"/>
            </w:tcBorders>
            <w:shd w:val="clear" w:color="auto" w:fill="D9D9D9" w:themeFill="background1" w:themeFillShade="D9"/>
            <w:vAlign w:val="center"/>
          </w:tcPr>
          <w:p w:rsidR="009E253F" w:rsidRPr="001D77D7" w:rsidRDefault="009E253F" w:rsidP="009E253F">
            <w:pPr>
              <w:pStyle w:val="a4"/>
              <w:spacing w:line="240" w:lineRule="auto"/>
              <w:jc w:val="right"/>
              <w:rPr>
                <w:rFonts w:ascii="Tahoma" w:hAnsi="Tahoma" w:cs="Tahoma"/>
                <w:i/>
              </w:rPr>
            </w:pPr>
            <w:r w:rsidRPr="000A6207">
              <w:rPr>
                <w:rFonts w:ascii="Tahoma" w:hAnsi="Tahoma" w:cs="Tahoma"/>
                <w:i/>
              </w:rPr>
              <w:t>Πηγή</w:t>
            </w:r>
            <w:r w:rsidRPr="00D05A22">
              <w:rPr>
                <w:rFonts w:ascii="Tahoma" w:hAnsi="Tahoma" w:cs="Tahoma"/>
                <w:i/>
              </w:rPr>
              <w:t xml:space="preserve">: </w:t>
            </w:r>
            <w:r>
              <w:rPr>
                <w:rFonts w:ascii="Tahoma" w:hAnsi="Tahoma" w:cs="Tahoma"/>
                <w:i/>
              </w:rPr>
              <w:t xml:space="preserve">Κλαδική Μελέτη </w:t>
            </w:r>
            <w:r w:rsidRPr="000A6207">
              <w:rPr>
                <w:rFonts w:ascii="Tahoma" w:hAnsi="Tahoma" w:cs="Tahoma"/>
                <w:i/>
                <w:lang w:val="en-US"/>
              </w:rPr>
              <w:t>ICAP</w:t>
            </w:r>
            <w:r w:rsidRPr="00D05A22">
              <w:rPr>
                <w:rFonts w:ascii="Tahoma" w:hAnsi="Tahoma" w:cs="Tahoma"/>
                <w:i/>
              </w:rPr>
              <w:t xml:space="preserve"> </w:t>
            </w:r>
            <w:r w:rsidRPr="000A6207">
              <w:rPr>
                <w:rFonts w:ascii="Tahoma" w:hAnsi="Tahoma" w:cs="Tahoma"/>
                <w:i/>
                <w:lang w:val="en-US"/>
              </w:rPr>
              <w:t>Group</w:t>
            </w:r>
            <w:r w:rsidRPr="00D05A22">
              <w:rPr>
                <w:rFonts w:ascii="Tahoma" w:hAnsi="Tahoma" w:cs="Tahoma"/>
                <w:i/>
              </w:rPr>
              <w:t xml:space="preserve"> </w:t>
            </w:r>
            <w:r w:rsidRPr="000A6207">
              <w:rPr>
                <w:rFonts w:ascii="Tahoma" w:hAnsi="Tahoma" w:cs="Tahoma"/>
                <w:i/>
                <w:lang w:val="en-US"/>
              </w:rPr>
              <w:t>AE</w:t>
            </w:r>
          </w:p>
        </w:tc>
      </w:tr>
    </w:tbl>
    <w:p w:rsidR="00FE74B2" w:rsidRPr="004E7DEE" w:rsidRDefault="00FE74B2" w:rsidP="00597AB7">
      <w:pPr>
        <w:spacing w:after="0" w:line="360" w:lineRule="auto"/>
        <w:ind w:firstLine="720"/>
        <w:rPr>
          <w:rFonts w:ascii="Arial" w:hAnsi="Arial" w:cs="Arial"/>
          <w:sz w:val="20"/>
          <w:szCs w:val="20"/>
        </w:rPr>
      </w:pPr>
    </w:p>
    <w:p w:rsidR="00391319" w:rsidRPr="004E7DEE" w:rsidRDefault="00391319" w:rsidP="00391319">
      <w:pPr>
        <w:pStyle w:val="a4"/>
        <w:sectPr w:rsidR="00391319" w:rsidRPr="004E7DEE" w:rsidSect="00FE74B2">
          <w:footerReference w:type="default" r:id="rId15"/>
          <w:headerReference w:type="first" r:id="rId16"/>
          <w:footerReference w:type="first" r:id="rId17"/>
          <w:pgSz w:w="11906" w:h="16838"/>
          <w:pgMar w:top="1440" w:right="1800" w:bottom="1440" w:left="1800" w:header="708" w:footer="0" w:gutter="0"/>
          <w:cols w:space="708"/>
          <w:titlePg/>
          <w:docGrid w:linePitch="360"/>
        </w:sectPr>
      </w:pPr>
      <w:bookmarkStart w:id="12" w:name="_GoBack"/>
      <w:bookmarkEnd w:id="12"/>
    </w:p>
    <w:p w:rsidR="00FE74B2" w:rsidRPr="004E7DEE" w:rsidRDefault="00FE74B2" w:rsidP="00CA79AC">
      <w:pPr>
        <w:pStyle w:val="a4"/>
        <w:rPr>
          <w:rFonts w:ascii="Arial" w:hAnsi="Arial" w:cs="Arial"/>
          <w:b/>
          <w:sz w:val="20"/>
          <w:szCs w:val="20"/>
        </w:rPr>
      </w:pPr>
      <w:bookmarkStart w:id="13" w:name="_Toc393449922"/>
    </w:p>
    <w:p w:rsidR="00CA79AC" w:rsidRPr="00391319" w:rsidRDefault="00CA79AC" w:rsidP="009E253F">
      <w:r w:rsidRPr="00391319">
        <w:t>Ομαδοποιημένος Ισολογισμός 9μήνου 2014</w:t>
      </w:r>
    </w:p>
    <w:p w:rsidR="00163A0F" w:rsidRDefault="001A7DE1" w:rsidP="009E253F">
      <w:r>
        <w:t>Ιδιαίτερο ε</w:t>
      </w:r>
      <w:r w:rsidR="00CA79AC" w:rsidRPr="00CA79AC">
        <w:t xml:space="preserve">νδιαφέρον παρουσιάζει η ανάλυση του </w:t>
      </w:r>
      <w:r w:rsidR="00CA79AC" w:rsidRPr="000B4CD0">
        <w:t>ομαδοποιημένου ισολογισμού</w:t>
      </w:r>
      <w:r w:rsidR="00CA79AC" w:rsidRPr="00CA79AC">
        <w:t xml:space="preserve"> των </w:t>
      </w:r>
      <w:r w:rsidR="00CA79AC" w:rsidRPr="000B4CD0">
        <w:t>τεσσάρων</w:t>
      </w:r>
      <w:r w:rsidR="00CA79AC" w:rsidRPr="00CA79AC">
        <w:t xml:space="preserve"> μεγάλων εταιρειών του κλάδου, οι οποίες και αντιπροσωπεύουν το </w:t>
      </w:r>
      <w:r w:rsidR="00CA79AC" w:rsidRPr="000B4CD0">
        <w:t>30%</w:t>
      </w:r>
      <w:r w:rsidR="00CA79AC" w:rsidRPr="00CA79AC">
        <w:t xml:space="preserve"> περίπου του συνολικού μεγέθους της αγοράς των ιδιωτικών υπηρεσιών υγείας της χώρας σε αξία. </w:t>
      </w:r>
    </w:p>
    <w:p w:rsidR="001A7DE1" w:rsidRDefault="00CA79AC" w:rsidP="009E253F">
      <w:r w:rsidRPr="00CA79AC">
        <w:t>Ο εν λόγω ισολογισμός προκύπτει από τις δημοσιευμένες λογιστικές καταστάσεις του 9μήνου (1.1-30.9) των ετών 2013 και 2014 και σύμφωνα με αυτόν</w:t>
      </w:r>
      <w:r w:rsidR="000B4CD0">
        <w:t>,</w:t>
      </w:r>
      <w:r>
        <w:t xml:space="preserve"> </w:t>
      </w:r>
      <w:r w:rsidR="001A7DE1">
        <w:t>ο</w:t>
      </w:r>
      <w:r w:rsidR="00FB5225">
        <w:t xml:space="preserve">ι </w:t>
      </w:r>
      <w:r w:rsidR="00FB5225" w:rsidRPr="000B4CD0">
        <w:t>συνολικές πωλήσεις</w:t>
      </w:r>
      <w:r w:rsidR="00FB5225">
        <w:t xml:space="preserve"> (έσοδα) των τεσσάρων εταιρειών διαμορφώθηκαν σε €331 εκατ.</w:t>
      </w:r>
      <w:r w:rsidR="00163A0F">
        <w:t>,</w:t>
      </w:r>
      <w:r w:rsidR="00FB5225">
        <w:t xml:space="preserve"> εμφανίζοντας </w:t>
      </w:r>
      <w:r w:rsidR="00FB5225" w:rsidRPr="000B4CD0">
        <w:t>μείωση 5%</w:t>
      </w:r>
      <w:r w:rsidR="00F350E9">
        <w:t xml:space="preserve">. Παράλληλα υπήρξε πτώση των αντίστοιχων μικτών κερδών με αρκετά εντονότερο ρυθμό </w:t>
      </w:r>
      <w:r w:rsidR="00F350E9" w:rsidRPr="00F350E9">
        <w:t>(-</w:t>
      </w:r>
      <w:r w:rsidR="000B4CD0" w:rsidRPr="00F350E9">
        <w:t>22,7%</w:t>
      </w:r>
      <w:r w:rsidR="00F350E9" w:rsidRPr="00F350E9">
        <w:t>)</w:t>
      </w:r>
      <w:r w:rsidR="00F350E9">
        <w:t xml:space="preserve">, </w:t>
      </w:r>
      <w:r w:rsidR="00F350E9" w:rsidRPr="00F350E9">
        <w:t>γ</w:t>
      </w:r>
      <w:r w:rsidR="00F350E9">
        <w:t xml:space="preserve">εγονός </w:t>
      </w:r>
      <w:r w:rsidR="00F350E9" w:rsidRPr="00F350E9">
        <w:t>που δείχνει την αδυναμία σημαντικής</w:t>
      </w:r>
      <w:r w:rsidR="00F350E9">
        <w:t xml:space="preserve"> περικοπής και συγκράτησης του κόστους</w:t>
      </w:r>
      <w:r w:rsidR="000B4CD0" w:rsidRPr="00F350E9">
        <w:t>.</w:t>
      </w:r>
      <w:r w:rsidR="000B4CD0">
        <w:t xml:space="preserve"> </w:t>
      </w:r>
      <w:r w:rsidR="00207746">
        <w:t xml:space="preserve">Παρά τη μείωση των χρηματοοικονομικών δαπανών κατά 41,2% και τη μείωση των λειτουργικών εξόδων κατά 21,5%, </w:t>
      </w:r>
      <w:r w:rsidR="000B4CD0">
        <w:t xml:space="preserve">το </w:t>
      </w:r>
      <w:r w:rsidR="000B4CD0" w:rsidRPr="000B4CD0">
        <w:t>καθαρό αποτέλεσμα</w:t>
      </w:r>
      <w:r w:rsidR="000B4CD0">
        <w:t xml:space="preserve"> παρέμεινε </w:t>
      </w:r>
      <w:r w:rsidR="000B4CD0" w:rsidRPr="000B4CD0">
        <w:t>ζημιογόνο</w:t>
      </w:r>
      <w:r w:rsidR="000B4CD0">
        <w:t xml:space="preserve"> και το 2014, ενώ οι ζημίες διατηρήθηκαν στο ίδιο επίπεδο με τις ζημίες του 2013. </w:t>
      </w:r>
      <w:proofErr w:type="spellStart"/>
      <w:r w:rsidR="00CA73FA">
        <w:t>Σ΄αυτό</w:t>
      </w:r>
      <w:proofErr w:type="spellEnd"/>
      <w:r w:rsidR="00CA73FA">
        <w:t xml:space="preserve"> το σημείο τονίζεται ότι ενώ το 2013 ζημίες </w:t>
      </w:r>
      <w:r w:rsidR="00F72AAE">
        <w:t>εμφάνισαν</w:t>
      </w:r>
      <w:r w:rsidR="00CA73FA">
        <w:t xml:space="preserve"> 3 από τις 4 εταιρείες, το 2014 μόνον μία (1) εταιρεία εμφάνισε ζημιογόνα αποτελέσματα.</w:t>
      </w:r>
      <w:r w:rsidR="00207746">
        <w:t xml:space="preserve"> </w:t>
      </w:r>
      <w:r w:rsidR="000B4CD0">
        <w:t xml:space="preserve">Τέλος, τα </w:t>
      </w:r>
      <w:r w:rsidR="000B4CD0" w:rsidRPr="000B4CD0">
        <w:t xml:space="preserve">κέρδη </w:t>
      </w:r>
      <w:r w:rsidR="000B4CD0" w:rsidRPr="000B4CD0">
        <w:rPr>
          <w:lang w:val="en-US"/>
        </w:rPr>
        <w:t>EBITDA</w:t>
      </w:r>
      <w:r w:rsidR="000B4CD0" w:rsidRPr="000B4CD0">
        <w:t xml:space="preserve"> </w:t>
      </w:r>
      <w:r w:rsidR="000B4CD0">
        <w:t xml:space="preserve">κατέγραψαν </w:t>
      </w:r>
      <w:r w:rsidR="000B4CD0" w:rsidRPr="000B4CD0">
        <w:t>μείωση 8,4%</w:t>
      </w:r>
      <w:r w:rsidR="000B4CD0">
        <w:t xml:space="preserve"> το 9μηνο του 2014 σε σχέση με το 9μηνο του 2013.</w:t>
      </w:r>
      <w:r w:rsidR="00FB5225">
        <w:t xml:space="preserve"> </w:t>
      </w:r>
      <w:r w:rsidRPr="00CA79AC">
        <w:t xml:space="preserve">  </w:t>
      </w:r>
    </w:p>
    <w:p w:rsidR="00CA79AC" w:rsidRPr="00CA79AC" w:rsidRDefault="00CA79AC" w:rsidP="009E253F">
      <w:r w:rsidRPr="00CA79AC">
        <w:t xml:space="preserve"> </w:t>
      </w:r>
      <w:r w:rsidR="001A7DE1">
        <w:t>Τ</w:t>
      </w:r>
      <w:r w:rsidR="001A7DE1" w:rsidRPr="00CA79AC">
        <w:t xml:space="preserve">ο σύνολο του </w:t>
      </w:r>
      <w:r w:rsidR="001A7DE1" w:rsidRPr="000B4CD0">
        <w:t>ενεργητικού</w:t>
      </w:r>
      <w:r w:rsidR="001A7DE1">
        <w:t xml:space="preserve"> διαμορφώθηκε στο ύψος των €1.371 εκατ.</w:t>
      </w:r>
      <w:r w:rsidR="001A7DE1" w:rsidRPr="001A7DE1">
        <w:t>,</w:t>
      </w:r>
      <w:r w:rsidR="001A7DE1">
        <w:t xml:space="preserve"> παρουσιάζοντας </w:t>
      </w:r>
      <w:r w:rsidR="001A7DE1" w:rsidRPr="000B4CD0">
        <w:t>μείωση</w:t>
      </w:r>
      <w:r w:rsidR="001A7DE1">
        <w:t xml:space="preserve"> σχεδόν </w:t>
      </w:r>
      <w:r w:rsidR="001A7DE1" w:rsidRPr="000B4CD0">
        <w:t>10%</w:t>
      </w:r>
      <w:r w:rsidR="001A7DE1">
        <w:t xml:space="preserve"> το 2014 σε σχέση με το 2013 γεγονός που οφείλεται κυρίως στη μείωση των απαιτήσεων αλλά και των διαθεσίμων. Αρκετά μεγαλύτερη είναι η </w:t>
      </w:r>
      <w:r w:rsidR="001A7DE1" w:rsidRPr="000B4CD0">
        <w:t>μείωση</w:t>
      </w:r>
      <w:r w:rsidR="001A7DE1">
        <w:t xml:space="preserve"> για τα </w:t>
      </w:r>
      <w:r w:rsidR="001A7DE1" w:rsidRPr="000B4CD0">
        <w:t>ίδια κεφάλαια</w:t>
      </w:r>
      <w:r w:rsidR="001A7DE1">
        <w:t xml:space="preserve"> (21,3%) η αξία των οποίων ανήλθε σε €377 εκατ., ενώ μείωση καταγράφουν οι </w:t>
      </w:r>
      <w:proofErr w:type="spellStart"/>
      <w:r w:rsidR="001A7DE1" w:rsidRPr="00207746">
        <w:t>μεσομακροπρόθεσμες</w:t>
      </w:r>
      <w:proofErr w:type="spellEnd"/>
      <w:r w:rsidR="001A7DE1" w:rsidRPr="00207746">
        <w:t xml:space="preserve"> υποχρεώσεις &amp; προβλέψεις</w:t>
      </w:r>
      <w:r w:rsidR="001A7DE1">
        <w:t xml:space="preserve"> </w:t>
      </w:r>
      <w:r w:rsidR="001A7DE1" w:rsidRPr="000B4CD0">
        <w:t>(37%)</w:t>
      </w:r>
      <w:r w:rsidR="001A7DE1">
        <w:t xml:space="preserve"> σε αντίθεση με </w:t>
      </w:r>
      <w:r w:rsidR="001A7DE1" w:rsidRPr="00207746">
        <w:t>τις βραχυπρόθεσμες υποχρεώσεις</w:t>
      </w:r>
      <w:r w:rsidR="00207746">
        <w:t>,</w:t>
      </w:r>
      <w:r w:rsidR="001A7DE1" w:rsidRPr="00207746">
        <w:t xml:space="preserve"> οι οποίες αυξήθηκαν κατά 14%</w:t>
      </w:r>
      <w:r w:rsidR="001A7DE1">
        <w:t xml:space="preserve"> </w:t>
      </w:r>
      <w:r w:rsidR="001A7DE1" w:rsidRPr="000B4CD0">
        <w:t>περίπου</w:t>
      </w:r>
      <w:r w:rsidR="001A7DE1">
        <w:t xml:space="preserve"> την περίοδο 2014/13.</w:t>
      </w:r>
    </w:p>
    <w:p w:rsidR="00391319" w:rsidRDefault="00391319" w:rsidP="00391319">
      <w:pPr>
        <w:autoSpaceDE w:val="0"/>
        <w:autoSpaceDN w:val="0"/>
        <w:adjustRightInd w:val="0"/>
        <w:jc w:val="center"/>
        <w:rPr>
          <w:rFonts w:ascii="Arial" w:hAnsi="Arial" w:cs="Arial"/>
          <w:b/>
          <w:color w:val="000000"/>
          <w:sz w:val="20"/>
        </w:rPr>
        <w:sectPr w:rsidR="00391319">
          <w:pgSz w:w="11906" w:h="16838"/>
          <w:pgMar w:top="1440" w:right="1800" w:bottom="1440" w:left="1800" w:header="708" w:footer="708" w:gutter="0"/>
          <w:cols w:space="708"/>
          <w:docGrid w:linePitch="360"/>
        </w:sectPr>
      </w:pPr>
    </w:p>
    <w:tbl>
      <w:tblPr>
        <w:tblStyle w:val="20101112"/>
        <w:tblW w:w="8755" w:type="dxa"/>
        <w:tblLayout w:type="fixed"/>
        <w:tblLook w:val="0000" w:firstRow="0" w:lastRow="0" w:firstColumn="0" w:lastColumn="0" w:noHBand="0" w:noVBand="0"/>
      </w:tblPr>
      <w:tblGrid>
        <w:gridCol w:w="4219"/>
        <w:gridCol w:w="1661"/>
        <w:gridCol w:w="1660"/>
        <w:gridCol w:w="1215"/>
      </w:tblGrid>
      <w:tr w:rsidR="00391319" w:rsidRPr="00391319" w:rsidTr="00FE74B2">
        <w:trPr>
          <w:cnfStyle w:val="000000100000" w:firstRow="0" w:lastRow="0" w:firstColumn="0" w:lastColumn="0" w:oddVBand="0" w:evenVBand="0" w:oddHBand="1" w:evenHBand="0" w:firstRowFirstColumn="0" w:firstRowLastColumn="0" w:lastRowFirstColumn="0" w:lastRowLastColumn="0"/>
          <w:trHeight w:val="290"/>
        </w:trPr>
        <w:tc>
          <w:tcPr>
            <w:tcW w:w="8755" w:type="dxa"/>
            <w:gridSpan w:val="4"/>
          </w:tcPr>
          <w:p w:rsidR="00391319" w:rsidRPr="00391319" w:rsidRDefault="00391319" w:rsidP="00391319">
            <w:pPr>
              <w:autoSpaceDE w:val="0"/>
              <w:autoSpaceDN w:val="0"/>
              <w:adjustRightInd w:val="0"/>
              <w:jc w:val="center"/>
              <w:rPr>
                <w:rFonts w:ascii="Arial" w:hAnsi="Arial" w:cs="Arial"/>
                <w:b/>
                <w:color w:val="000000"/>
                <w:sz w:val="20"/>
              </w:rPr>
            </w:pPr>
            <w:r w:rsidRPr="00391319">
              <w:rPr>
                <w:rFonts w:ascii="Arial" w:hAnsi="Arial" w:cs="Arial"/>
                <w:b/>
                <w:color w:val="000000"/>
                <w:sz w:val="20"/>
              </w:rPr>
              <w:lastRenderedPageBreak/>
              <w:t>Ομαδοποιημένος ισολογισμός 9μήνου 2013-2014</w:t>
            </w:r>
          </w:p>
        </w:tc>
      </w:tr>
      <w:tr w:rsidR="00391319" w:rsidRPr="00391319" w:rsidTr="00391319">
        <w:trPr>
          <w:cnfStyle w:val="000000010000" w:firstRow="0" w:lastRow="0" w:firstColumn="0" w:lastColumn="0" w:oddVBand="0" w:evenVBand="0" w:oddHBand="0" w:evenHBand="1" w:firstRowFirstColumn="0" w:firstRowLastColumn="0" w:lastRowFirstColumn="0" w:lastRowLastColumn="0"/>
          <w:trHeight w:val="290"/>
        </w:trPr>
        <w:tc>
          <w:tcPr>
            <w:tcW w:w="4219" w:type="dxa"/>
          </w:tcPr>
          <w:p w:rsidR="00391319" w:rsidRPr="00391319" w:rsidRDefault="00391319" w:rsidP="000B4CD0">
            <w:pPr>
              <w:autoSpaceDE w:val="0"/>
              <w:autoSpaceDN w:val="0"/>
              <w:adjustRightInd w:val="0"/>
              <w:jc w:val="center"/>
              <w:rPr>
                <w:rFonts w:ascii="Arial" w:hAnsi="Arial" w:cs="Arial"/>
                <w:b/>
                <w:bCs/>
                <w:color w:val="000000"/>
                <w:sz w:val="20"/>
              </w:rPr>
            </w:pPr>
            <w:r w:rsidRPr="00391319">
              <w:rPr>
                <w:rFonts w:ascii="Arial" w:hAnsi="Arial" w:cs="Arial"/>
                <w:b/>
                <w:bCs/>
                <w:color w:val="000000"/>
                <w:sz w:val="20"/>
              </w:rPr>
              <w:t>ΛΟΓΑΡΙΑΣΜΟΣ</w:t>
            </w:r>
          </w:p>
        </w:tc>
        <w:tc>
          <w:tcPr>
            <w:tcW w:w="1661" w:type="dxa"/>
          </w:tcPr>
          <w:p w:rsidR="00391319" w:rsidRPr="00391319" w:rsidRDefault="00391319" w:rsidP="000B4CD0">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9μηνο </w:t>
            </w:r>
            <w:r w:rsidRPr="00391319">
              <w:rPr>
                <w:rFonts w:ascii="Arial" w:hAnsi="Arial" w:cs="Arial"/>
                <w:b/>
                <w:bCs/>
                <w:color w:val="000000"/>
                <w:sz w:val="20"/>
              </w:rPr>
              <w:t>2013</w:t>
            </w:r>
          </w:p>
        </w:tc>
        <w:tc>
          <w:tcPr>
            <w:tcW w:w="1660" w:type="dxa"/>
          </w:tcPr>
          <w:p w:rsidR="00391319" w:rsidRPr="00391319" w:rsidRDefault="00391319" w:rsidP="000B4CD0">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9μηνο </w:t>
            </w:r>
            <w:r w:rsidRPr="00391319">
              <w:rPr>
                <w:rFonts w:ascii="Arial" w:hAnsi="Arial" w:cs="Arial"/>
                <w:b/>
                <w:bCs/>
                <w:color w:val="000000"/>
                <w:sz w:val="20"/>
              </w:rPr>
              <w:t>2014</w:t>
            </w:r>
          </w:p>
        </w:tc>
        <w:tc>
          <w:tcPr>
            <w:tcW w:w="1215" w:type="dxa"/>
          </w:tcPr>
          <w:p w:rsidR="00391319" w:rsidRPr="00391319" w:rsidRDefault="00391319" w:rsidP="000B4CD0">
            <w:pPr>
              <w:autoSpaceDE w:val="0"/>
              <w:autoSpaceDN w:val="0"/>
              <w:adjustRightInd w:val="0"/>
              <w:jc w:val="center"/>
              <w:rPr>
                <w:rFonts w:ascii="Arial" w:hAnsi="Arial" w:cs="Arial"/>
                <w:b/>
                <w:bCs/>
                <w:color w:val="000000"/>
                <w:sz w:val="20"/>
              </w:rPr>
            </w:pPr>
            <w:r>
              <w:rPr>
                <w:rFonts w:ascii="Arial" w:hAnsi="Arial" w:cs="Arial"/>
                <w:b/>
                <w:bCs/>
                <w:color w:val="000000"/>
                <w:sz w:val="20"/>
              </w:rPr>
              <w:t>Μεταβολή</w:t>
            </w:r>
          </w:p>
        </w:tc>
      </w:tr>
      <w:tr w:rsidR="00391319" w:rsidRPr="00391319" w:rsidTr="00391319">
        <w:trPr>
          <w:cnfStyle w:val="000000100000" w:firstRow="0" w:lastRow="0" w:firstColumn="0" w:lastColumn="0" w:oddVBand="0" w:evenVBand="0" w:oddHBand="1" w:evenHBand="0"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ΚΑΘΑΡΑ ΠΑΓΙΑ</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1.038.323.131</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1.027.436.988</w:t>
            </w:r>
          </w:p>
        </w:tc>
        <w:tc>
          <w:tcPr>
            <w:tcW w:w="1215" w:type="dxa"/>
          </w:tcPr>
          <w:p w:rsidR="00391319" w:rsidRPr="00391319" w:rsidRDefault="00CA79AC">
            <w:pPr>
              <w:autoSpaceDE w:val="0"/>
              <w:autoSpaceDN w:val="0"/>
              <w:adjustRightInd w:val="0"/>
              <w:rPr>
                <w:rFonts w:ascii="Arial" w:hAnsi="Arial" w:cs="Arial"/>
                <w:color w:val="000000"/>
                <w:sz w:val="20"/>
              </w:rPr>
            </w:pPr>
            <w:r>
              <w:rPr>
                <w:rFonts w:ascii="Arial" w:hAnsi="Arial" w:cs="Arial"/>
                <w:color w:val="000000"/>
                <w:sz w:val="20"/>
              </w:rPr>
              <w:t>-1,1</w:t>
            </w:r>
            <w:r w:rsidR="00391319">
              <w:rPr>
                <w:rFonts w:ascii="Arial" w:hAnsi="Arial" w:cs="Arial"/>
                <w:color w:val="000000"/>
                <w:sz w:val="20"/>
              </w:rPr>
              <w:t>%</w:t>
            </w:r>
          </w:p>
        </w:tc>
      </w:tr>
      <w:tr w:rsidR="00391319" w:rsidRPr="00391319" w:rsidTr="00391319">
        <w:trPr>
          <w:cnfStyle w:val="000000010000" w:firstRow="0" w:lastRow="0" w:firstColumn="0" w:lastColumn="0" w:oddVBand="0" w:evenVBand="0" w:oddHBand="0" w:evenHBand="1"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ΑΠΟΘΕΜΑΤΑ</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9.805.424</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8.685.283</w:t>
            </w:r>
          </w:p>
        </w:tc>
        <w:tc>
          <w:tcPr>
            <w:tcW w:w="1215" w:type="dxa"/>
          </w:tcPr>
          <w:p w:rsidR="00391319" w:rsidRPr="00391319" w:rsidRDefault="00CA79AC">
            <w:pPr>
              <w:autoSpaceDE w:val="0"/>
              <w:autoSpaceDN w:val="0"/>
              <w:adjustRightInd w:val="0"/>
              <w:rPr>
                <w:rFonts w:ascii="Arial" w:hAnsi="Arial" w:cs="Arial"/>
                <w:color w:val="000000"/>
                <w:sz w:val="20"/>
              </w:rPr>
            </w:pPr>
            <w:r>
              <w:rPr>
                <w:rFonts w:ascii="Arial" w:hAnsi="Arial" w:cs="Arial"/>
                <w:color w:val="000000"/>
                <w:sz w:val="20"/>
              </w:rPr>
              <w:t>-11,4</w:t>
            </w:r>
            <w:r w:rsidR="00391319">
              <w:rPr>
                <w:rFonts w:ascii="Arial" w:hAnsi="Arial" w:cs="Arial"/>
                <w:color w:val="000000"/>
                <w:sz w:val="20"/>
              </w:rPr>
              <w:t>%</w:t>
            </w:r>
          </w:p>
        </w:tc>
      </w:tr>
      <w:tr w:rsidR="00391319" w:rsidRPr="00391319" w:rsidTr="00391319">
        <w:trPr>
          <w:cnfStyle w:val="000000100000" w:firstRow="0" w:lastRow="0" w:firstColumn="0" w:lastColumn="0" w:oddVBand="0" w:evenVBand="0" w:oddHBand="1" w:evenHBand="0"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ΑΠΑΙΤΗΣΕΙΣ</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449.769.320</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322.979.725</w:t>
            </w:r>
          </w:p>
        </w:tc>
        <w:tc>
          <w:tcPr>
            <w:tcW w:w="1215" w:type="dxa"/>
          </w:tcPr>
          <w:p w:rsidR="00391319" w:rsidRPr="00391319" w:rsidRDefault="00CA79AC">
            <w:pPr>
              <w:autoSpaceDE w:val="0"/>
              <w:autoSpaceDN w:val="0"/>
              <w:adjustRightInd w:val="0"/>
              <w:rPr>
                <w:rFonts w:ascii="Arial" w:hAnsi="Arial" w:cs="Arial"/>
                <w:color w:val="000000"/>
                <w:sz w:val="20"/>
              </w:rPr>
            </w:pPr>
            <w:r>
              <w:rPr>
                <w:rFonts w:ascii="Arial" w:hAnsi="Arial" w:cs="Arial"/>
                <w:color w:val="000000"/>
                <w:sz w:val="20"/>
              </w:rPr>
              <w:t>-28,2</w:t>
            </w:r>
            <w:r w:rsidR="00391319">
              <w:rPr>
                <w:rFonts w:ascii="Arial" w:hAnsi="Arial" w:cs="Arial"/>
                <w:color w:val="000000"/>
                <w:sz w:val="20"/>
              </w:rPr>
              <w:t>%</w:t>
            </w:r>
          </w:p>
        </w:tc>
      </w:tr>
      <w:tr w:rsidR="00391319" w:rsidRPr="00391319" w:rsidTr="00391319">
        <w:trPr>
          <w:cnfStyle w:val="000000010000" w:firstRow="0" w:lastRow="0" w:firstColumn="0" w:lastColumn="0" w:oddVBand="0" w:evenVBand="0" w:oddHBand="0" w:evenHBand="1"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ΤΑΜΕΙΟ - ΤΡΑΠΕΖΕΣ</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23.956.741</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11.927.585</w:t>
            </w:r>
          </w:p>
        </w:tc>
        <w:tc>
          <w:tcPr>
            <w:tcW w:w="1215" w:type="dxa"/>
          </w:tcPr>
          <w:p w:rsidR="00391319" w:rsidRPr="00391319" w:rsidRDefault="00CA79AC">
            <w:pPr>
              <w:autoSpaceDE w:val="0"/>
              <w:autoSpaceDN w:val="0"/>
              <w:adjustRightInd w:val="0"/>
              <w:rPr>
                <w:rFonts w:ascii="Arial" w:hAnsi="Arial" w:cs="Arial"/>
                <w:color w:val="000000"/>
                <w:sz w:val="20"/>
              </w:rPr>
            </w:pPr>
            <w:r>
              <w:rPr>
                <w:rFonts w:ascii="Arial" w:hAnsi="Arial" w:cs="Arial"/>
                <w:color w:val="000000"/>
                <w:sz w:val="20"/>
              </w:rPr>
              <w:t>-50,2</w:t>
            </w:r>
            <w:r w:rsidR="00391319">
              <w:rPr>
                <w:rFonts w:ascii="Arial" w:hAnsi="Arial" w:cs="Arial"/>
                <w:color w:val="000000"/>
                <w:sz w:val="20"/>
              </w:rPr>
              <w:t>%</w:t>
            </w:r>
          </w:p>
        </w:tc>
      </w:tr>
      <w:tr w:rsidR="00391319" w:rsidRPr="00CA79AC" w:rsidTr="00391319">
        <w:trPr>
          <w:cnfStyle w:val="000000100000" w:firstRow="0" w:lastRow="0" w:firstColumn="0" w:lastColumn="0" w:oddVBand="0" w:evenVBand="0" w:oddHBand="1" w:evenHBand="0" w:firstRowFirstColumn="0" w:firstRowLastColumn="0" w:lastRowFirstColumn="0" w:lastRowLastColumn="0"/>
          <w:trHeight w:val="290"/>
        </w:trPr>
        <w:tc>
          <w:tcPr>
            <w:tcW w:w="4219" w:type="dxa"/>
          </w:tcPr>
          <w:p w:rsidR="00391319" w:rsidRPr="00CA79AC" w:rsidRDefault="00391319" w:rsidP="00391319">
            <w:pPr>
              <w:autoSpaceDE w:val="0"/>
              <w:autoSpaceDN w:val="0"/>
              <w:adjustRightInd w:val="0"/>
              <w:jc w:val="left"/>
              <w:rPr>
                <w:rFonts w:ascii="Arial" w:hAnsi="Arial" w:cs="Arial"/>
                <w:b/>
                <w:color w:val="000000"/>
                <w:sz w:val="20"/>
              </w:rPr>
            </w:pPr>
            <w:r w:rsidRPr="00CA79AC">
              <w:rPr>
                <w:rFonts w:ascii="Arial" w:hAnsi="Arial" w:cs="Arial"/>
                <w:b/>
                <w:color w:val="000000"/>
                <w:sz w:val="20"/>
              </w:rPr>
              <w:t>ΣΥΝΟΛΟ ΕΝΕΡΓΗΤΙΚΟΥ</w:t>
            </w:r>
          </w:p>
        </w:tc>
        <w:tc>
          <w:tcPr>
            <w:tcW w:w="1661" w:type="dxa"/>
          </w:tcPr>
          <w:p w:rsidR="00391319" w:rsidRPr="00CA79AC" w:rsidRDefault="00391319">
            <w:pPr>
              <w:autoSpaceDE w:val="0"/>
              <w:autoSpaceDN w:val="0"/>
              <w:adjustRightInd w:val="0"/>
              <w:rPr>
                <w:rFonts w:ascii="Arial" w:hAnsi="Arial" w:cs="Arial"/>
                <w:b/>
                <w:color w:val="000000"/>
                <w:sz w:val="20"/>
              </w:rPr>
            </w:pPr>
            <w:r w:rsidRPr="00CA79AC">
              <w:rPr>
                <w:rFonts w:ascii="Arial" w:hAnsi="Arial" w:cs="Arial"/>
                <w:b/>
                <w:color w:val="000000"/>
                <w:sz w:val="20"/>
              </w:rPr>
              <w:t>1.521.854.617</w:t>
            </w:r>
          </w:p>
        </w:tc>
        <w:tc>
          <w:tcPr>
            <w:tcW w:w="1660" w:type="dxa"/>
          </w:tcPr>
          <w:p w:rsidR="00391319" w:rsidRPr="00CA79AC" w:rsidRDefault="00391319">
            <w:pPr>
              <w:autoSpaceDE w:val="0"/>
              <w:autoSpaceDN w:val="0"/>
              <w:adjustRightInd w:val="0"/>
              <w:rPr>
                <w:rFonts w:ascii="Arial" w:hAnsi="Arial" w:cs="Arial"/>
                <w:b/>
                <w:color w:val="000000"/>
                <w:sz w:val="20"/>
              </w:rPr>
            </w:pPr>
            <w:r w:rsidRPr="00CA79AC">
              <w:rPr>
                <w:rFonts w:ascii="Arial" w:hAnsi="Arial" w:cs="Arial"/>
                <w:b/>
                <w:color w:val="000000"/>
                <w:sz w:val="20"/>
              </w:rPr>
              <w:t>1.371.029.581</w:t>
            </w:r>
          </w:p>
        </w:tc>
        <w:tc>
          <w:tcPr>
            <w:tcW w:w="1215" w:type="dxa"/>
          </w:tcPr>
          <w:p w:rsidR="00391319" w:rsidRPr="00CA79AC" w:rsidRDefault="00CA79AC">
            <w:pPr>
              <w:autoSpaceDE w:val="0"/>
              <w:autoSpaceDN w:val="0"/>
              <w:adjustRightInd w:val="0"/>
              <w:rPr>
                <w:rFonts w:ascii="Arial" w:hAnsi="Arial" w:cs="Arial"/>
                <w:b/>
                <w:color w:val="000000"/>
                <w:sz w:val="20"/>
              </w:rPr>
            </w:pPr>
            <w:r>
              <w:rPr>
                <w:rFonts w:ascii="Arial" w:hAnsi="Arial" w:cs="Arial"/>
                <w:b/>
                <w:color w:val="000000"/>
                <w:sz w:val="20"/>
              </w:rPr>
              <w:t>-9,9</w:t>
            </w:r>
            <w:r w:rsidR="00391319" w:rsidRPr="00CA79AC">
              <w:rPr>
                <w:rFonts w:ascii="Arial" w:hAnsi="Arial" w:cs="Arial"/>
                <w:b/>
                <w:color w:val="000000"/>
                <w:sz w:val="20"/>
              </w:rPr>
              <w:t>%</w:t>
            </w:r>
          </w:p>
        </w:tc>
      </w:tr>
      <w:tr w:rsidR="00391319" w:rsidRPr="00391319" w:rsidTr="00391319">
        <w:trPr>
          <w:cnfStyle w:val="000000010000" w:firstRow="0" w:lastRow="0" w:firstColumn="0" w:lastColumn="0" w:oddVBand="0" w:evenVBand="0" w:oddHBand="0" w:evenHBand="1"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ΙΔΙΑ ΚΕΦΑΛΑΙΑ</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478.922.133</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376.841.975</w:t>
            </w:r>
          </w:p>
        </w:tc>
        <w:tc>
          <w:tcPr>
            <w:tcW w:w="1215" w:type="dxa"/>
          </w:tcPr>
          <w:p w:rsidR="00391319" w:rsidRPr="00391319" w:rsidRDefault="00CA79AC">
            <w:pPr>
              <w:autoSpaceDE w:val="0"/>
              <w:autoSpaceDN w:val="0"/>
              <w:adjustRightInd w:val="0"/>
              <w:rPr>
                <w:rFonts w:ascii="Arial" w:hAnsi="Arial" w:cs="Arial"/>
                <w:color w:val="000000"/>
                <w:sz w:val="20"/>
              </w:rPr>
            </w:pPr>
            <w:r>
              <w:rPr>
                <w:rFonts w:ascii="Arial" w:hAnsi="Arial" w:cs="Arial"/>
                <w:color w:val="000000"/>
                <w:sz w:val="20"/>
              </w:rPr>
              <w:t>-21,3</w:t>
            </w:r>
            <w:r w:rsidR="00391319">
              <w:rPr>
                <w:rFonts w:ascii="Arial" w:hAnsi="Arial" w:cs="Arial"/>
                <w:color w:val="000000"/>
                <w:sz w:val="20"/>
              </w:rPr>
              <w:t>%</w:t>
            </w:r>
          </w:p>
        </w:tc>
      </w:tr>
      <w:tr w:rsidR="00391319" w:rsidRPr="00391319" w:rsidTr="00391319">
        <w:trPr>
          <w:cnfStyle w:val="000000100000" w:firstRow="0" w:lastRow="0" w:firstColumn="0" w:lastColumn="0" w:oddVBand="0" w:evenVBand="0" w:oddHBand="1" w:evenHBand="0"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ΜΕΣΟ.&amp; ΜΑΚΡΟ. ΥΠΟΧ.&amp; ΠΡΟΒΛΕΨΕΙΣ</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384.059.723</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241.962.651</w:t>
            </w:r>
          </w:p>
        </w:tc>
        <w:tc>
          <w:tcPr>
            <w:tcW w:w="1215" w:type="dxa"/>
          </w:tcPr>
          <w:p w:rsidR="00391319" w:rsidRPr="00391319" w:rsidRDefault="00CA79AC">
            <w:pPr>
              <w:autoSpaceDE w:val="0"/>
              <w:autoSpaceDN w:val="0"/>
              <w:adjustRightInd w:val="0"/>
              <w:rPr>
                <w:rFonts w:ascii="Arial" w:hAnsi="Arial" w:cs="Arial"/>
                <w:color w:val="000000"/>
                <w:sz w:val="20"/>
              </w:rPr>
            </w:pPr>
            <w:r>
              <w:rPr>
                <w:rFonts w:ascii="Arial" w:hAnsi="Arial" w:cs="Arial"/>
                <w:color w:val="000000"/>
                <w:sz w:val="20"/>
              </w:rPr>
              <w:t>-37,0</w:t>
            </w:r>
            <w:r w:rsidR="00391319">
              <w:rPr>
                <w:rFonts w:ascii="Arial" w:hAnsi="Arial" w:cs="Arial"/>
                <w:color w:val="000000"/>
                <w:sz w:val="20"/>
              </w:rPr>
              <w:t>%</w:t>
            </w:r>
          </w:p>
        </w:tc>
      </w:tr>
      <w:tr w:rsidR="00391319" w:rsidRPr="00391319" w:rsidTr="00391319">
        <w:trPr>
          <w:cnfStyle w:val="000000010000" w:firstRow="0" w:lastRow="0" w:firstColumn="0" w:lastColumn="0" w:oddVBand="0" w:evenVBand="0" w:oddHBand="0" w:evenHBand="1"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ΒΡΑΧΥΠΡΟΘΕΣΜΕΣ ΥΠΟΧΡΕΩΣΕΙΣ</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658.872.760</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752.224.954</w:t>
            </w:r>
          </w:p>
        </w:tc>
        <w:tc>
          <w:tcPr>
            <w:tcW w:w="1215" w:type="dxa"/>
          </w:tcPr>
          <w:p w:rsidR="00391319" w:rsidRPr="00391319" w:rsidRDefault="00CA79AC">
            <w:pPr>
              <w:autoSpaceDE w:val="0"/>
              <w:autoSpaceDN w:val="0"/>
              <w:adjustRightInd w:val="0"/>
              <w:rPr>
                <w:rFonts w:ascii="Arial" w:hAnsi="Arial" w:cs="Arial"/>
                <w:color w:val="000000"/>
                <w:sz w:val="20"/>
              </w:rPr>
            </w:pPr>
            <w:r>
              <w:rPr>
                <w:rFonts w:ascii="Arial" w:hAnsi="Arial" w:cs="Arial"/>
                <w:color w:val="000000"/>
                <w:sz w:val="20"/>
              </w:rPr>
              <w:t>14,2</w:t>
            </w:r>
            <w:r w:rsidR="00391319">
              <w:rPr>
                <w:rFonts w:ascii="Arial" w:hAnsi="Arial" w:cs="Arial"/>
                <w:color w:val="000000"/>
                <w:sz w:val="20"/>
              </w:rPr>
              <w:t>%</w:t>
            </w:r>
          </w:p>
        </w:tc>
      </w:tr>
      <w:tr w:rsidR="00391319" w:rsidRPr="00CA79AC" w:rsidTr="00391319">
        <w:trPr>
          <w:cnfStyle w:val="000000100000" w:firstRow="0" w:lastRow="0" w:firstColumn="0" w:lastColumn="0" w:oddVBand="0" w:evenVBand="0" w:oddHBand="1" w:evenHBand="0" w:firstRowFirstColumn="0" w:firstRowLastColumn="0" w:lastRowFirstColumn="0" w:lastRowLastColumn="0"/>
          <w:trHeight w:val="290"/>
        </w:trPr>
        <w:tc>
          <w:tcPr>
            <w:tcW w:w="4219" w:type="dxa"/>
          </w:tcPr>
          <w:p w:rsidR="00391319" w:rsidRPr="00CA79AC" w:rsidRDefault="00391319" w:rsidP="00391319">
            <w:pPr>
              <w:autoSpaceDE w:val="0"/>
              <w:autoSpaceDN w:val="0"/>
              <w:adjustRightInd w:val="0"/>
              <w:jc w:val="left"/>
              <w:rPr>
                <w:rFonts w:ascii="Arial" w:hAnsi="Arial" w:cs="Arial"/>
                <w:b/>
                <w:color w:val="000000"/>
                <w:sz w:val="20"/>
              </w:rPr>
            </w:pPr>
            <w:r w:rsidRPr="00CA79AC">
              <w:rPr>
                <w:rFonts w:ascii="Arial" w:hAnsi="Arial" w:cs="Arial"/>
                <w:b/>
                <w:color w:val="000000"/>
                <w:sz w:val="20"/>
              </w:rPr>
              <w:t>ΣΥΝΟΛΟ ΠΑΘΗΤΙΚΟΥ</w:t>
            </w:r>
          </w:p>
        </w:tc>
        <w:tc>
          <w:tcPr>
            <w:tcW w:w="1661" w:type="dxa"/>
          </w:tcPr>
          <w:p w:rsidR="00391319" w:rsidRPr="00CA79AC" w:rsidRDefault="00391319">
            <w:pPr>
              <w:autoSpaceDE w:val="0"/>
              <w:autoSpaceDN w:val="0"/>
              <w:adjustRightInd w:val="0"/>
              <w:rPr>
                <w:rFonts w:ascii="Arial" w:hAnsi="Arial" w:cs="Arial"/>
                <w:b/>
                <w:color w:val="000000"/>
                <w:sz w:val="20"/>
              </w:rPr>
            </w:pPr>
            <w:r w:rsidRPr="00CA79AC">
              <w:rPr>
                <w:rFonts w:ascii="Arial" w:hAnsi="Arial" w:cs="Arial"/>
                <w:b/>
                <w:color w:val="000000"/>
                <w:sz w:val="20"/>
              </w:rPr>
              <w:t>1.521.854.617</w:t>
            </w:r>
          </w:p>
        </w:tc>
        <w:tc>
          <w:tcPr>
            <w:tcW w:w="1660" w:type="dxa"/>
          </w:tcPr>
          <w:p w:rsidR="00391319" w:rsidRPr="00CA79AC" w:rsidRDefault="00391319">
            <w:pPr>
              <w:autoSpaceDE w:val="0"/>
              <w:autoSpaceDN w:val="0"/>
              <w:adjustRightInd w:val="0"/>
              <w:rPr>
                <w:rFonts w:ascii="Arial" w:hAnsi="Arial" w:cs="Arial"/>
                <w:b/>
                <w:color w:val="000000"/>
                <w:sz w:val="20"/>
              </w:rPr>
            </w:pPr>
            <w:r w:rsidRPr="00CA79AC">
              <w:rPr>
                <w:rFonts w:ascii="Arial" w:hAnsi="Arial" w:cs="Arial"/>
                <w:b/>
                <w:color w:val="000000"/>
                <w:sz w:val="20"/>
              </w:rPr>
              <w:t>1.371.029.581</w:t>
            </w:r>
          </w:p>
        </w:tc>
        <w:tc>
          <w:tcPr>
            <w:tcW w:w="1215" w:type="dxa"/>
          </w:tcPr>
          <w:p w:rsidR="00391319" w:rsidRPr="00CA79AC" w:rsidRDefault="00CA79AC">
            <w:pPr>
              <w:autoSpaceDE w:val="0"/>
              <w:autoSpaceDN w:val="0"/>
              <w:adjustRightInd w:val="0"/>
              <w:rPr>
                <w:rFonts w:ascii="Arial" w:hAnsi="Arial" w:cs="Arial"/>
                <w:b/>
                <w:color w:val="000000"/>
                <w:sz w:val="20"/>
              </w:rPr>
            </w:pPr>
            <w:r>
              <w:rPr>
                <w:rFonts w:ascii="Arial" w:hAnsi="Arial" w:cs="Arial"/>
                <w:b/>
                <w:color w:val="000000"/>
                <w:sz w:val="20"/>
              </w:rPr>
              <w:t>-9,9</w:t>
            </w:r>
            <w:r w:rsidR="00391319" w:rsidRPr="00CA79AC">
              <w:rPr>
                <w:rFonts w:ascii="Arial" w:hAnsi="Arial" w:cs="Arial"/>
                <w:b/>
                <w:color w:val="000000"/>
                <w:sz w:val="20"/>
              </w:rPr>
              <w:t>%</w:t>
            </w:r>
          </w:p>
        </w:tc>
      </w:tr>
      <w:tr w:rsidR="00391319" w:rsidRPr="00CA79AC" w:rsidTr="00391319">
        <w:trPr>
          <w:cnfStyle w:val="000000010000" w:firstRow="0" w:lastRow="0" w:firstColumn="0" w:lastColumn="0" w:oddVBand="0" w:evenVBand="0" w:oddHBand="0" w:evenHBand="1" w:firstRowFirstColumn="0" w:firstRowLastColumn="0" w:lastRowFirstColumn="0" w:lastRowLastColumn="0"/>
          <w:trHeight w:val="290"/>
        </w:trPr>
        <w:tc>
          <w:tcPr>
            <w:tcW w:w="4219" w:type="dxa"/>
          </w:tcPr>
          <w:p w:rsidR="00391319" w:rsidRPr="00CA79AC" w:rsidRDefault="00391319" w:rsidP="00391319">
            <w:pPr>
              <w:autoSpaceDE w:val="0"/>
              <w:autoSpaceDN w:val="0"/>
              <w:adjustRightInd w:val="0"/>
              <w:jc w:val="left"/>
              <w:rPr>
                <w:rFonts w:ascii="Arial" w:hAnsi="Arial" w:cs="Arial"/>
                <w:b/>
                <w:color w:val="000000"/>
                <w:sz w:val="20"/>
              </w:rPr>
            </w:pPr>
            <w:r w:rsidRPr="00CA79AC">
              <w:rPr>
                <w:rFonts w:ascii="Arial" w:hAnsi="Arial" w:cs="Arial"/>
                <w:b/>
                <w:color w:val="000000"/>
                <w:sz w:val="20"/>
              </w:rPr>
              <w:t>ΚΥΚΛΟΣ ΕΡΓΑΣΙΩΝ (ΠΩΛΗΣΕΙΣ)</w:t>
            </w:r>
          </w:p>
        </w:tc>
        <w:tc>
          <w:tcPr>
            <w:tcW w:w="1661" w:type="dxa"/>
          </w:tcPr>
          <w:p w:rsidR="00391319" w:rsidRPr="00CA79AC" w:rsidRDefault="00391319">
            <w:pPr>
              <w:autoSpaceDE w:val="0"/>
              <w:autoSpaceDN w:val="0"/>
              <w:adjustRightInd w:val="0"/>
              <w:rPr>
                <w:rFonts w:ascii="Arial" w:hAnsi="Arial" w:cs="Arial"/>
                <w:b/>
                <w:color w:val="000000"/>
                <w:sz w:val="20"/>
              </w:rPr>
            </w:pPr>
            <w:r w:rsidRPr="00CA79AC">
              <w:rPr>
                <w:rFonts w:ascii="Arial" w:hAnsi="Arial" w:cs="Arial"/>
                <w:b/>
                <w:color w:val="000000"/>
                <w:sz w:val="20"/>
              </w:rPr>
              <w:t>348.583.096</w:t>
            </w:r>
          </w:p>
        </w:tc>
        <w:tc>
          <w:tcPr>
            <w:tcW w:w="1660" w:type="dxa"/>
          </w:tcPr>
          <w:p w:rsidR="00391319" w:rsidRPr="00CA79AC" w:rsidRDefault="00391319">
            <w:pPr>
              <w:autoSpaceDE w:val="0"/>
              <w:autoSpaceDN w:val="0"/>
              <w:adjustRightInd w:val="0"/>
              <w:rPr>
                <w:rFonts w:ascii="Arial" w:hAnsi="Arial" w:cs="Arial"/>
                <w:b/>
                <w:color w:val="000000"/>
                <w:sz w:val="20"/>
              </w:rPr>
            </w:pPr>
            <w:r w:rsidRPr="00CA79AC">
              <w:rPr>
                <w:rFonts w:ascii="Arial" w:hAnsi="Arial" w:cs="Arial"/>
                <w:b/>
                <w:color w:val="000000"/>
                <w:sz w:val="20"/>
              </w:rPr>
              <w:t>331.156.183</w:t>
            </w:r>
          </w:p>
        </w:tc>
        <w:tc>
          <w:tcPr>
            <w:tcW w:w="1215" w:type="dxa"/>
          </w:tcPr>
          <w:p w:rsidR="00391319" w:rsidRPr="00CA79AC" w:rsidRDefault="00CA79AC">
            <w:pPr>
              <w:autoSpaceDE w:val="0"/>
              <w:autoSpaceDN w:val="0"/>
              <w:adjustRightInd w:val="0"/>
              <w:rPr>
                <w:rFonts w:ascii="Arial" w:hAnsi="Arial" w:cs="Arial"/>
                <w:b/>
                <w:color w:val="000000"/>
                <w:sz w:val="20"/>
              </w:rPr>
            </w:pPr>
            <w:r>
              <w:rPr>
                <w:rFonts w:ascii="Arial" w:hAnsi="Arial" w:cs="Arial"/>
                <w:b/>
                <w:color w:val="000000"/>
                <w:sz w:val="20"/>
              </w:rPr>
              <w:t>-5,0</w:t>
            </w:r>
            <w:r w:rsidR="00391319" w:rsidRPr="00CA79AC">
              <w:rPr>
                <w:rFonts w:ascii="Arial" w:hAnsi="Arial" w:cs="Arial"/>
                <w:b/>
                <w:color w:val="000000"/>
                <w:sz w:val="20"/>
              </w:rPr>
              <w:t>%</w:t>
            </w:r>
          </w:p>
        </w:tc>
      </w:tr>
      <w:tr w:rsidR="00391319" w:rsidRPr="00391319" w:rsidTr="00391319">
        <w:trPr>
          <w:cnfStyle w:val="000000100000" w:firstRow="0" w:lastRow="0" w:firstColumn="0" w:lastColumn="0" w:oddVBand="0" w:evenVBand="0" w:oddHBand="1" w:evenHBand="0"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ΜΙΚΤΟ ΚΕΡΔΟΣ</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60.673.295</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46.925.003</w:t>
            </w:r>
          </w:p>
        </w:tc>
        <w:tc>
          <w:tcPr>
            <w:tcW w:w="1215" w:type="dxa"/>
          </w:tcPr>
          <w:p w:rsidR="00391319" w:rsidRPr="00391319" w:rsidRDefault="00CA79AC">
            <w:pPr>
              <w:autoSpaceDE w:val="0"/>
              <w:autoSpaceDN w:val="0"/>
              <w:adjustRightInd w:val="0"/>
              <w:rPr>
                <w:rFonts w:ascii="Arial" w:hAnsi="Arial" w:cs="Arial"/>
                <w:color w:val="000000"/>
                <w:sz w:val="20"/>
              </w:rPr>
            </w:pPr>
            <w:r>
              <w:rPr>
                <w:rFonts w:ascii="Arial" w:hAnsi="Arial" w:cs="Arial"/>
                <w:color w:val="000000"/>
                <w:sz w:val="20"/>
              </w:rPr>
              <w:t>-22,7</w:t>
            </w:r>
            <w:r w:rsidR="00391319">
              <w:rPr>
                <w:rFonts w:ascii="Arial" w:hAnsi="Arial" w:cs="Arial"/>
                <w:color w:val="000000"/>
                <w:sz w:val="20"/>
              </w:rPr>
              <w:t>%</w:t>
            </w:r>
          </w:p>
        </w:tc>
      </w:tr>
      <w:tr w:rsidR="00391319" w:rsidRPr="00391319" w:rsidTr="00391319">
        <w:trPr>
          <w:cnfStyle w:val="000000010000" w:firstRow="0" w:lastRow="0" w:firstColumn="0" w:lastColumn="0" w:oddVBand="0" w:evenVBand="0" w:oddHBand="0" w:evenHBand="1"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ΧΡΗΜΑΤΟΟΙΚΟΝΟΜΙΚΕΣ ΔΑΠΑΝΕΣ</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12.111.456</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7.126.521</w:t>
            </w:r>
          </w:p>
        </w:tc>
        <w:tc>
          <w:tcPr>
            <w:tcW w:w="1215" w:type="dxa"/>
          </w:tcPr>
          <w:p w:rsidR="00391319" w:rsidRPr="00391319" w:rsidRDefault="00CA79AC">
            <w:pPr>
              <w:autoSpaceDE w:val="0"/>
              <w:autoSpaceDN w:val="0"/>
              <w:adjustRightInd w:val="0"/>
              <w:rPr>
                <w:rFonts w:ascii="Arial" w:hAnsi="Arial" w:cs="Arial"/>
                <w:color w:val="000000"/>
                <w:sz w:val="20"/>
              </w:rPr>
            </w:pPr>
            <w:r>
              <w:rPr>
                <w:rFonts w:ascii="Arial" w:hAnsi="Arial" w:cs="Arial"/>
                <w:color w:val="000000"/>
                <w:sz w:val="20"/>
              </w:rPr>
              <w:t>-41,2%</w:t>
            </w:r>
          </w:p>
        </w:tc>
      </w:tr>
      <w:tr w:rsidR="00391319" w:rsidRPr="00391319" w:rsidTr="00391319">
        <w:trPr>
          <w:cnfStyle w:val="000000100000" w:firstRow="0" w:lastRow="0" w:firstColumn="0" w:lastColumn="0" w:oddVBand="0" w:evenVBand="0" w:oddHBand="1" w:evenHBand="0"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ΛΟΙΠΑ ΛΕΙΤΟΥΡΓΙΚΑ ΕΞΟΔΑ</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36.609.369</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28.727.574</w:t>
            </w:r>
          </w:p>
        </w:tc>
        <w:tc>
          <w:tcPr>
            <w:tcW w:w="1215" w:type="dxa"/>
          </w:tcPr>
          <w:p w:rsidR="00391319" w:rsidRPr="00391319" w:rsidRDefault="00CA79AC">
            <w:pPr>
              <w:autoSpaceDE w:val="0"/>
              <w:autoSpaceDN w:val="0"/>
              <w:adjustRightInd w:val="0"/>
              <w:rPr>
                <w:rFonts w:ascii="Arial" w:hAnsi="Arial" w:cs="Arial"/>
                <w:color w:val="000000"/>
                <w:sz w:val="20"/>
              </w:rPr>
            </w:pPr>
            <w:r>
              <w:rPr>
                <w:rFonts w:ascii="Arial" w:hAnsi="Arial" w:cs="Arial"/>
                <w:color w:val="000000"/>
                <w:sz w:val="20"/>
              </w:rPr>
              <w:t>-21,5</w:t>
            </w:r>
            <w:r w:rsidR="00391319">
              <w:rPr>
                <w:rFonts w:ascii="Arial" w:hAnsi="Arial" w:cs="Arial"/>
                <w:color w:val="000000"/>
                <w:sz w:val="20"/>
              </w:rPr>
              <w:t>%</w:t>
            </w:r>
          </w:p>
        </w:tc>
      </w:tr>
      <w:tr w:rsidR="00391319" w:rsidRPr="00391319" w:rsidTr="00391319">
        <w:trPr>
          <w:cnfStyle w:val="000000010000" w:firstRow="0" w:lastRow="0" w:firstColumn="0" w:lastColumn="0" w:oddVBand="0" w:evenVBand="0" w:oddHBand="0" w:evenHBand="1"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ΛΕΙΤΟΥΡΓΙΚΑ ΑΠΟΤΕΛΕΣΜΑΤΑ</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15.389.943</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16.621.131</w:t>
            </w:r>
          </w:p>
        </w:tc>
        <w:tc>
          <w:tcPr>
            <w:tcW w:w="1215" w:type="dxa"/>
          </w:tcPr>
          <w:p w:rsidR="00391319" w:rsidRPr="00391319" w:rsidRDefault="00CA79AC">
            <w:pPr>
              <w:autoSpaceDE w:val="0"/>
              <w:autoSpaceDN w:val="0"/>
              <w:adjustRightInd w:val="0"/>
              <w:rPr>
                <w:rFonts w:ascii="Arial" w:hAnsi="Arial" w:cs="Arial"/>
                <w:color w:val="000000"/>
                <w:sz w:val="20"/>
              </w:rPr>
            </w:pPr>
            <w:r>
              <w:rPr>
                <w:rFonts w:ascii="Arial" w:hAnsi="Arial" w:cs="Arial"/>
                <w:color w:val="000000"/>
                <w:sz w:val="20"/>
              </w:rPr>
              <w:t>8,0</w:t>
            </w:r>
            <w:r w:rsidR="00391319">
              <w:rPr>
                <w:rFonts w:ascii="Arial" w:hAnsi="Arial" w:cs="Arial"/>
                <w:color w:val="000000"/>
                <w:sz w:val="20"/>
              </w:rPr>
              <w:t>%</w:t>
            </w:r>
          </w:p>
        </w:tc>
      </w:tr>
      <w:tr w:rsidR="00391319" w:rsidRPr="00391319" w:rsidTr="00391319">
        <w:trPr>
          <w:cnfStyle w:val="000000100000" w:firstRow="0" w:lastRow="0" w:firstColumn="0" w:lastColumn="0" w:oddVBand="0" w:evenVBand="0" w:oddHBand="1" w:evenHBand="0"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ΜΗ ΛΕΙΤΟΥΡΓΙΚΑ ΕΣΟΔΑ</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37.000</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3.000</w:t>
            </w:r>
          </w:p>
        </w:tc>
        <w:tc>
          <w:tcPr>
            <w:tcW w:w="1215" w:type="dxa"/>
          </w:tcPr>
          <w:p w:rsidR="00391319" w:rsidRPr="00391319" w:rsidRDefault="00CA79AC">
            <w:pPr>
              <w:autoSpaceDE w:val="0"/>
              <w:autoSpaceDN w:val="0"/>
              <w:adjustRightInd w:val="0"/>
              <w:rPr>
                <w:rFonts w:ascii="Arial" w:hAnsi="Arial" w:cs="Arial"/>
                <w:color w:val="000000"/>
                <w:sz w:val="20"/>
              </w:rPr>
            </w:pPr>
            <w:r>
              <w:rPr>
                <w:rFonts w:ascii="Arial" w:hAnsi="Arial" w:cs="Arial"/>
                <w:color w:val="000000"/>
                <w:sz w:val="20"/>
              </w:rPr>
              <w:t>-91,9</w:t>
            </w:r>
            <w:r w:rsidR="00391319">
              <w:rPr>
                <w:rFonts w:ascii="Arial" w:hAnsi="Arial" w:cs="Arial"/>
                <w:color w:val="000000"/>
                <w:sz w:val="20"/>
              </w:rPr>
              <w:t>%</w:t>
            </w:r>
          </w:p>
        </w:tc>
      </w:tr>
      <w:tr w:rsidR="00391319" w:rsidRPr="00391319" w:rsidTr="00391319">
        <w:trPr>
          <w:cnfStyle w:val="000000010000" w:firstRow="0" w:lastRow="0" w:firstColumn="0" w:lastColumn="0" w:oddVBand="0" w:evenVBand="0" w:oddHBand="0" w:evenHBand="1"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ΜΗ ΛΕΙΤΟΥΡΓΙΚΑ ΕΞΟΔΑ</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18.478.000</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19.655.000</w:t>
            </w:r>
          </w:p>
        </w:tc>
        <w:tc>
          <w:tcPr>
            <w:tcW w:w="1215" w:type="dxa"/>
          </w:tcPr>
          <w:p w:rsidR="00391319" w:rsidRPr="00391319" w:rsidRDefault="00CA79AC">
            <w:pPr>
              <w:autoSpaceDE w:val="0"/>
              <w:autoSpaceDN w:val="0"/>
              <w:adjustRightInd w:val="0"/>
              <w:rPr>
                <w:rFonts w:ascii="Arial" w:hAnsi="Arial" w:cs="Arial"/>
                <w:color w:val="000000"/>
                <w:sz w:val="20"/>
              </w:rPr>
            </w:pPr>
            <w:r>
              <w:rPr>
                <w:rFonts w:ascii="Arial" w:hAnsi="Arial" w:cs="Arial"/>
                <w:color w:val="000000"/>
                <w:sz w:val="20"/>
              </w:rPr>
              <w:t>6,4</w:t>
            </w:r>
            <w:r w:rsidR="00391319">
              <w:rPr>
                <w:rFonts w:ascii="Arial" w:hAnsi="Arial" w:cs="Arial"/>
                <w:color w:val="000000"/>
                <w:sz w:val="20"/>
              </w:rPr>
              <w:t>%</w:t>
            </w:r>
          </w:p>
        </w:tc>
      </w:tr>
      <w:tr w:rsidR="00391319" w:rsidRPr="00CA79AC" w:rsidTr="00391319">
        <w:trPr>
          <w:cnfStyle w:val="000000100000" w:firstRow="0" w:lastRow="0" w:firstColumn="0" w:lastColumn="0" w:oddVBand="0" w:evenVBand="0" w:oddHBand="1" w:evenHBand="0" w:firstRowFirstColumn="0" w:firstRowLastColumn="0" w:lastRowFirstColumn="0" w:lastRowLastColumn="0"/>
          <w:trHeight w:val="290"/>
        </w:trPr>
        <w:tc>
          <w:tcPr>
            <w:tcW w:w="4219" w:type="dxa"/>
          </w:tcPr>
          <w:p w:rsidR="00391319" w:rsidRPr="00CA79AC" w:rsidRDefault="00391319" w:rsidP="00391319">
            <w:pPr>
              <w:autoSpaceDE w:val="0"/>
              <w:autoSpaceDN w:val="0"/>
              <w:adjustRightInd w:val="0"/>
              <w:jc w:val="left"/>
              <w:rPr>
                <w:rFonts w:ascii="Arial" w:hAnsi="Arial" w:cs="Arial"/>
                <w:b/>
                <w:color w:val="000000"/>
                <w:sz w:val="20"/>
              </w:rPr>
            </w:pPr>
            <w:r w:rsidRPr="00CA79AC">
              <w:rPr>
                <w:rFonts w:ascii="Arial" w:hAnsi="Arial" w:cs="Arial"/>
                <w:b/>
                <w:color w:val="000000"/>
                <w:sz w:val="20"/>
              </w:rPr>
              <w:t>ΚΕΡΔΟΣ ΠΡΟ ΦΟΡΟΥ ΕΙΣΟΔΗΜΑΤΟΣ</w:t>
            </w:r>
          </w:p>
        </w:tc>
        <w:tc>
          <w:tcPr>
            <w:tcW w:w="1661" w:type="dxa"/>
          </w:tcPr>
          <w:p w:rsidR="00391319" w:rsidRPr="00CA79AC" w:rsidRDefault="00391319">
            <w:pPr>
              <w:autoSpaceDE w:val="0"/>
              <w:autoSpaceDN w:val="0"/>
              <w:adjustRightInd w:val="0"/>
              <w:rPr>
                <w:rFonts w:ascii="Arial" w:hAnsi="Arial" w:cs="Arial"/>
                <w:b/>
                <w:color w:val="000000"/>
                <w:sz w:val="20"/>
              </w:rPr>
            </w:pPr>
            <w:r w:rsidRPr="00CA79AC">
              <w:rPr>
                <w:rFonts w:ascii="Arial" w:hAnsi="Arial" w:cs="Arial"/>
                <w:b/>
                <w:color w:val="000000"/>
                <w:sz w:val="20"/>
              </w:rPr>
              <w:t>-3.051.057</w:t>
            </w:r>
          </w:p>
        </w:tc>
        <w:tc>
          <w:tcPr>
            <w:tcW w:w="1660" w:type="dxa"/>
          </w:tcPr>
          <w:p w:rsidR="00391319" w:rsidRPr="00CA79AC" w:rsidRDefault="00391319">
            <w:pPr>
              <w:autoSpaceDE w:val="0"/>
              <w:autoSpaceDN w:val="0"/>
              <w:adjustRightInd w:val="0"/>
              <w:rPr>
                <w:rFonts w:ascii="Arial" w:hAnsi="Arial" w:cs="Arial"/>
                <w:b/>
                <w:color w:val="000000"/>
                <w:sz w:val="20"/>
              </w:rPr>
            </w:pPr>
            <w:r w:rsidRPr="00CA79AC">
              <w:rPr>
                <w:rFonts w:ascii="Arial" w:hAnsi="Arial" w:cs="Arial"/>
                <w:b/>
                <w:color w:val="000000"/>
                <w:sz w:val="20"/>
              </w:rPr>
              <w:t>-3.030.869</w:t>
            </w:r>
          </w:p>
        </w:tc>
        <w:tc>
          <w:tcPr>
            <w:tcW w:w="1215" w:type="dxa"/>
          </w:tcPr>
          <w:p w:rsidR="00391319" w:rsidRPr="00CA79AC" w:rsidRDefault="00CA79AC">
            <w:pPr>
              <w:autoSpaceDE w:val="0"/>
              <w:autoSpaceDN w:val="0"/>
              <w:adjustRightInd w:val="0"/>
              <w:rPr>
                <w:rFonts w:ascii="Arial" w:hAnsi="Arial" w:cs="Arial"/>
                <w:b/>
                <w:color w:val="000000"/>
                <w:sz w:val="20"/>
              </w:rPr>
            </w:pPr>
            <w:r>
              <w:rPr>
                <w:rFonts w:ascii="Arial" w:hAnsi="Arial" w:cs="Arial"/>
                <w:b/>
                <w:color w:val="000000"/>
                <w:sz w:val="20"/>
              </w:rPr>
              <w:t>0,6</w:t>
            </w:r>
            <w:r w:rsidR="00391319" w:rsidRPr="00CA79AC">
              <w:rPr>
                <w:rFonts w:ascii="Arial" w:hAnsi="Arial" w:cs="Arial"/>
                <w:b/>
                <w:color w:val="000000"/>
                <w:sz w:val="20"/>
              </w:rPr>
              <w:t>%</w:t>
            </w:r>
          </w:p>
        </w:tc>
      </w:tr>
      <w:tr w:rsidR="00391319" w:rsidRPr="00391319" w:rsidTr="00391319">
        <w:trPr>
          <w:cnfStyle w:val="000000010000" w:firstRow="0" w:lastRow="0" w:firstColumn="0" w:lastColumn="0" w:oddVBand="0" w:evenVBand="0" w:oddHBand="0" w:evenHBand="1"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EBITDA</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50.615.200</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46.359.420</w:t>
            </w:r>
          </w:p>
        </w:tc>
        <w:tc>
          <w:tcPr>
            <w:tcW w:w="1215" w:type="dxa"/>
          </w:tcPr>
          <w:p w:rsidR="00391319" w:rsidRPr="00391319" w:rsidRDefault="00CA79AC">
            <w:pPr>
              <w:autoSpaceDE w:val="0"/>
              <w:autoSpaceDN w:val="0"/>
              <w:adjustRightInd w:val="0"/>
              <w:rPr>
                <w:rFonts w:ascii="Arial" w:hAnsi="Arial" w:cs="Arial"/>
                <w:color w:val="000000"/>
                <w:sz w:val="20"/>
              </w:rPr>
            </w:pPr>
            <w:r>
              <w:rPr>
                <w:rFonts w:ascii="Arial" w:hAnsi="Arial" w:cs="Arial"/>
                <w:color w:val="000000"/>
                <w:sz w:val="20"/>
              </w:rPr>
              <w:t>-8,4</w:t>
            </w:r>
            <w:r w:rsidR="00391319">
              <w:rPr>
                <w:rFonts w:ascii="Arial" w:hAnsi="Arial" w:cs="Arial"/>
                <w:color w:val="000000"/>
                <w:sz w:val="20"/>
              </w:rPr>
              <w:t>%</w:t>
            </w:r>
          </w:p>
        </w:tc>
      </w:tr>
      <w:tr w:rsidR="00391319" w:rsidRPr="00391319" w:rsidTr="00391319">
        <w:trPr>
          <w:cnfStyle w:val="000000100000" w:firstRow="0" w:lastRow="0" w:firstColumn="0" w:lastColumn="0" w:oddVBand="0" w:evenVBand="0" w:oddHBand="1" w:evenHBand="0" w:firstRowFirstColumn="0" w:firstRowLastColumn="0" w:lastRowFirstColumn="0" w:lastRowLastColumn="0"/>
          <w:trHeight w:val="290"/>
        </w:trPr>
        <w:tc>
          <w:tcPr>
            <w:tcW w:w="4219" w:type="dxa"/>
          </w:tcPr>
          <w:p w:rsidR="00391319" w:rsidRPr="00391319" w:rsidRDefault="00391319" w:rsidP="000B4CD0">
            <w:pPr>
              <w:autoSpaceDE w:val="0"/>
              <w:autoSpaceDN w:val="0"/>
              <w:adjustRightInd w:val="0"/>
              <w:jc w:val="center"/>
              <w:rPr>
                <w:rFonts w:ascii="Arial" w:hAnsi="Arial" w:cs="Arial"/>
                <w:b/>
                <w:color w:val="000000"/>
                <w:sz w:val="20"/>
              </w:rPr>
            </w:pPr>
            <w:r w:rsidRPr="00391319">
              <w:rPr>
                <w:rFonts w:ascii="Arial" w:hAnsi="Arial" w:cs="Arial"/>
                <w:b/>
                <w:color w:val="000000"/>
                <w:sz w:val="20"/>
                <w:lang w:val="en-US"/>
              </w:rPr>
              <w:t>ΔΕΙΚΤΕΣ</w:t>
            </w:r>
          </w:p>
        </w:tc>
        <w:tc>
          <w:tcPr>
            <w:tcW w:w="1661" w:type="dxa"/>
          </w:tcPr>
          <w:p w:rsidR="00391319" w:rsidRPr="00391319" w:rsidRDefault="00391319">
            <w:pPr>
              <w:autoSpaceDE w:val="0"/>
              <w:autoSpaceDN w:val="0"/>
              <w:adjustRightInd w:val="0"/>
              <w:rPr>
                <w:rFonts w:ascii="Arial" w:hAnsi="Arial" w:cs="Arial"/>
                <w:b/>
                <w:color w:val="000000"/>
                <w:sz w:val="20"/>
              </w:rPr>
            </w:pPr>
          </w:p>
        </w:tc>
        <w:tc>
          <w:tcPr>
            <w:tcW w:w="1660" w:type="dxa"/>
          </w:tcPr>
          <w:p w:rsidR="00391319" w:rsidRPr="00391319" w:rsidRDefault="00391319">
            <w:pPr>
              <w:autoSpaceDE w:val="0"/>
              <w:autoSpaceDN w:val="0"/>
              <w:adjustRightInd w:val="0"/>
              <w:rPr>
                <w:rFonts w:ascii="Arial" w:hAnsi="Arial" w:cs="Arial"/>
                <w:b/>
                <w:color w:val="000000"/>
                <w:sz w:val="20"/>
              </w:rPr>
            </w:pPr>
          </w:p>
        </w:tc>
        <w:tc>
          <w:tcPr>
            <w:tcW w:w="1215" w:type="dxa"/>
          </w:tcPr>
          <w:p w:rsidR="00391319" w:rsidRPr="00391319" w:rsidRDefault="00391319">
            <w:pPr>
              <w:autoSpaceDE w:val="0"/>
              <w:autoSpaceDN w:val="0"/>
              <w:adjustRightInd w:val="0"/>
              <w:rPr>
                <w:rFonts w:ascii="Arial" w:hAnsi="Arial" w:cs="Arial"/>
                <w:b/>
                <w:color w:val="000000"/>
                <w:sz w:val="20"/>
              </w:rPr>
            </w:pPr>
          </w:p>
        </w:tc>
      </w:tr>
      <w:tr w:rsidR="00391319" w:rsidRPr="00391319" w:rsidTr="00391319">
        <w:trPr>
          <w:cnfStyle w:val="000000010000" w:firstRow="0" w:lastRow="0" w:firstColumn="0" w:lastColumn="0" w:oddVBand="0" w:evenVBand="0" w:oddHBand="0" w:evenHBand="1"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ΑΠΟΔΟΤΙΚΟΤΗΤΑ ΙΔΙΩΝ ΚΕΦΑΛΑΙΩΝ</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-0,64</w:t>
            </w:r>
            <w:r w:rsidR="000B4CD0">
              <w:rPr>
                <w:rFonts w:ascii="Arial" w:hAnsi="Arial" w:cs="Arial"/>
                <w:color w:val="000000"/>
                <w:sz w:val="20"/>
              </w:rPr>
              <w:t>%</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-0,80</w:t>
            </w:r>
            <w:r w:rsidR="000B4CD0">
              <w:rPr>
                <w:rFonts w:ascii="Arial" w:hAnsi="Arial" w:cs="Arial"/>
                <w:color w:val="000000"/>
                <w:sz w:val="20"/>
              </w:rPr>
              <w:t>%</w:t>
            </w:r>
          </w:p>
        </w:tc>
        <w:tc>
          <w:tcPr>
            <w:tcW w:w="1215" w:type="dxa"/>
          </w:tcPr>
          <w:p w:rsidR="00391319" w:rsidRPr="00391319" w:rsidRDefault="00391319">
            <w:pPr>
              <w:autoSpaceDE w:val="0"/>
              <w:autoSpaceDN w:val="0"/>
              <w:adjustRightInd w:val="0"/>
              <w:rPr>
                <w:rFonts w:ascii="Arial" w:hAnsi="Arial" w:cs="Arial"/>
                <w:color w:val="000000"/>
                <w:sz w:val="20"/>
              </w:rPr>
            </w:pPr>
          </w:p>
        </w:tc>
      </w:tr>
      <w:tr w:rsidR="00391319" w:rsidRPr="00391319" w:rsidTr="00391319">
        <w:trPr>
          <w:cnfStyle w:val="000000100000" w:firstRow="0" w:lastRow="0" w:firstColumn="0" w:lastColumn="0" w:oddVBand="0" w:evenVBand="0" w:oddHBand="1" w:evenHBand="0"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ΠΕΡΙΘΩΡΙΟ ΜΙΚΤΟΥ ΚΕΡΔΟΥΣ</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17,41</w:t>
            </w:r>
            <w:r w:rsidR="000B4CD0">
              <w:rPr>
                <w:rFonts w:ascii="Arial" w:hAnsi="Arial" w:cs="Arial"/>
                <w:color w:val="000000"/>
                <w:sz w:val="20"/>
              </w:rPr>
              <w:t>%</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14,17</w:t>
            </w:r>
            <w:r w:rsidR="000B4CD0">
              <w:rPr>
                <w:rFonts w:ascii="Arial" w:hAnsi="Arial" w:cs="Arial"/>
                <w:color w:val="000000"/>
                <w:sz w:val="20"/>
              </w:rPr>
              <w:t>%</w:t>
            </w:r>
          </w:p>
        </w:tc>
        <w:tc>
          <w:tcPr>
            <w:tcW w:w="1215" w:type="dxa"/>
          </w:tcPr>
          <w:p w:rsidR="00391319" w:rsidRPr="00391319" w:rsidRDefault="00391319">
            <w:pPr>
              <w:autoSpaceDE w:val="0"/>
              <w:autoSpaceDN w:val="0"/>
              <w:adjustRightInd w:val="0"/>
              <w:rPr>
                <w:rFonts w:ascii="Arial" w:hAnsi="Arial" w:cs="Arial"/>
                <w:color w:val="000000"/>
                <w:sz w:val="20"/>
              </w:rPr>
            </w:pPr>
          </w:p>
        </w:tc>
      </w:tr>
      <w:tr w:rsidR="00391319" w:rsidRPr="00391319" w:rsidTr="00391319">
        <w:trPr>
          <w:cnfStyle w:val="000000010000" w:firstRow="0" w:lastRow="0" w:firstColumn="0" w:lastColumn="0" w:oddVBand="0" w:evenVBand="0" w:oddHBand="0" w:evenHBand="1"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ΣΧΕΣΗ ΞΕΝΩΝ ΠΡΟΣ ΙΔΙΑ ΚΕΦΑΛΑΙΑ</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2,18</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2,64</w:t>
            </w:r>
          </w:p>
        </w:tc>
        <w:tc>
          <w:tcPr>
            <w:tcW w:w="1215" w:type="dxa"/>
          </w:tcPr>
          <w:p w:rsidR="00391319" w:rsidRPr="00391319" w:rsidRDefault="00391319">
            <w:pPr>
              <w:autoSpaceDE w:val="0"/>
              <w:autoSpaceDN w:val="0"/>
              <w:adjustRightInd w:val="0"/>
              <w:rPr>
                <w:rFonts w:ascii="Arial" w:hAnsi="Arial" w:cs="Arial"/>
                <w:color w:val="000000"/>
                <w:sz w:val="20"/>
              </w:rPr>
            </w:pPr>
          </w:p>
        </w:tc>
      </w:tr>
      <w:tr w:rsidR="00391319" w:rsidRPr="00391319" w:rsidTr="00391319">
        <w:trPr>
          <w:cnfStyle w:val="000000100000" w:firstRow="0" w:lastRow="0" w:firstColumn="0" w:lastColumn="0" w:oddVBand="0" w:evenVBand="0" w:oddHBand="1" w:evenHBand="0"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color w:val="000000"/>
                <w:sz w:val="20"/>
              </w:rPr>
            </w:pPr>
            <w:r w:rsidRPr="00391319">
              <w:rPr>
                <w:rFonts w:ascii="Arial" w:hAnsi="Arial" w:cs="Arial"/>
                <w:color w:val="000000"/>
                <w:sz w:val="20"/>
              </w:rPr>
              <w:t>ΓΕΝΙΚΗ ΡΕΥΣΤΟΤΗΤΑ</w:t>
            </w:r>
          </w:p>
        </w:tc>
        <w:tc>
          <w:tcPr>
            <w:tcW w:w="1661"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0,73</w:t>
            </w:r>
          </w:p>
        </w:tc>
        <w:tc>
          <w:tcPr>
            <w:tcW w:w="1660" w:type="dxa"/>
          </w:tcPr>
          <w:p w:rsidR="00391319" w:rsidRPr="00391319" w:rsidRDefault="00391319">
            <w:pPr>
              <w:autoSpaceDE w:val="0"/>
              <w:autoSpaceDN w:val="0"/>
              <w:adjustRightInd w:val="0"/>
              <w:rPr>
                <w:rFonts w:ascii="Arial" w:hAnsi="Arial" w:cs="Arial"/>
                <w:color w:val="000000"/>
                <w:sz w:val="20"/>
              </w:rPr>
            </w:pPr>
            <w:r w:rsidRPr="00391319">
              <w:rPr>
                <w:rFonts w:ascii="Arial" w:hAnsi="Arial" w:cs="Arial"/>
                <w:color w:val="000000"/>
                <w:sz w:val="20"/>
              </w:rPr>
              <w:t>0,46</w:t>
            </w:r>
          </w:p>
        </w:tc>
        <w:tc>
          <w:tcPr>
            <w:tcW w:w="1215" w:type="dxa"/>
          </w:tcPr>
          <w:p w:rsidR="00391319" w:rsidRPr="00391319" w:rsidRDefault="00391319">
            <w:pPr>
              <w:autoSpaceDE w:val="0"/>
              <w:autoSpaceDN w:val="0"/>
              <w:adjustRightInd w:val="0"/>
              <w:rPr>
                <w:rFonts w:ascii="Arial" w:hAnsi="Arial" w:cs="Arial"/>
                <w:color w:val="000000"/>
                <w:sz w:val="20"/>
              </w:rPr>
            </w:pPr>
          </w:p>
        </w:tc>
      </w:tr>
      <w:tr w:rsidR="00391319" w:rsidRPr="00391319" w:rsidTr="00391319">
        <w:trPr>
          <w:cnfStyle w:val="000000010000" w:firstRow="0" w:lastRow="0" w:firstColumn="0" w:lastColumn="0" w:oddVBand="0" w:evenVBand="0" w:oddHBand="0" w:evenHBand="1" w:firstRowFirstColumn="0" w:firstRowLastColumn="0" w:lastRowFirstColumn="0" w:lastRowLastColumn="0"/>
          <w:trHeight w:val="290"/>
        </w:trPr>
        <w:tc>
          <w:tcPr>
            <w:tcW w:w="4219" w:type="dxa"/>
          </w:tcPr>
          <w:p w:rsidR="00391319" w:rsidRPr="00391319" w:rsidRDefault="00391319" w:rsidP="00391319">
            <w:pPr>
              <w:autoSpaceDE w:val="0"/>
              <w:autoSpaceDN w:val="0"/>
              <w:adjustRightInd w:val="0"/>
              <w:jc w:val="left"/>
              <w:rPr>
                <w:rFonts w:ascii="Arial" w:hAnsi="Arial" w:cs="Arial"/>
                <w:b/>
                <w:bCs/>
                <w:color w:val="000000"/>
                <w:sz w:val="20"/>
              </w:rPr>
            </w:pPr>
            <w:r w:rsidRPr="00391319">
              <w:rPr>
                <w:rFonts w:ascii="Arial" w:hAnsi="Arial" w:cs="Arial"/>
                <w:b/>
                <w:bCs/>
                <w:color w:val="000000"/>
                <w:sz w:val="20"/>
              </w:rPr>
              <w:t>ΔΕΙΓΜΑ ΕΤΑΙΡΕΙΩΝ</w:t>
            </w:r>
          </w:p>
        </w:tc>
        <w:tc>
          <w:tcPr>
            <w:tcW w:w="1661" w:type="dxa"/>
          </w:tcPr>
          <w:p w:rsidR="00391319" w:rsidRPr="00391319" w:rsidRDefault="00391319">
            <w:pPr>
              <w:autoSpaceDE w:val="0"/>
              <w:autoSpaceDN w:val="0"/>
              <w:adjustRightInd w:val="0"/>
              <w:rPr>
                <w:rFonts w:ascii="Arial" w:hAnsi="Arial" w:cs="Arial"/>
                <w:b/>
                <w:bCs/>
                <w:color w:val="000000"/>
                <w:sz w:val="20"/>
              </w:rPr>
            </w:pPr>
            <w:r w:rsidRPr="00391319">
              <w:rPr>
                <w:rFonts w:ascii="Arial" w:hAnsi="Arial" w:cs="Arial"/>
                <w:b/>
                <w:bCs/>
                <w:color w:val="000000"/>
                <w:sz w:val="20"/>
              </w:rPr>
              <w:t>4</w:t>
            </w:r>
          </w:p>
        </w:tc>
        <w:tc>
          <w:tcPr>
            <w:tcW w:w="1660" w:type="dxa"/>
          </w:tcPr>
          <w:p w:rsidR="00391319" w:rsidRPr="00391319" w:rsidRDefault="00391319">
            <w:pPr>
              <w:autoSpaceDE w:val="0"/>
              <w:autoSpaceDN w:val="0"/>
              <w:adjustRightInd w:val="0"/>
              <w:rPr>
                <w:rFonts w:ascii="Arial" w:hAnsi="Arial" w:cs="Arial"/>
                <w:b/>
                <w:bCs/>
                <w:color w:val="000000"/>
                <w:sz w:val="20"/>
              </w:rPr>
            </w:pPr>
            <w:r w:rsidRPr="00391319">
              <w:rPr>
                <w:rFonts w:ascii="Arial" w:hAnsi="Arial" w:cs="Arial"/>
                <w:b/>
                <w:bCs/>
                <w:color w:val="000000"/>
                <w:sz w:val="20"/>
              </w:rPr>
              <w:t>4</w:t>
            </w:r>
          </w:p>
        </w:tc>
        <w:tc>
          <w:tcPr>
            <w:tcW w:w="1215" w:type="dxa"/>
          </w:tcPr>
          <w:p w:rsidR="00391319" w:rsidRPr="00391319" w:rsidRDefault="00391319">
            <w:pPr>
              <w:autoSpaceDE w:val="0"/>
              <w:autoSpaceDN w:val="0"/>
              <w:adjustRightInd w:val="0"/>
              <w:rPr>
                <w:rFonts w:ascii="Arial" w:hAnsi="Arial" w:cs="Arial"/>
                <w:color w:val="000000"/>
                <w:sz w:val="20"/>
              </w:rPr>
            </w:pPr>
          </w:p>
        </w:tc>
      </w:tr>
      <w:tr w:rsidR="00391319" w:rsidRPr="00391319" w:rsidTr="00FE74B2">
        <w:trPr>
          <w:cnfStyle w:val="000000100000" w:firstRow="0" w:lastRow="0" w:firstColumn="0" w:lastColumn="0" w:oddVBand="0" w:evenVBand="0" w:oddHBand="1" w:evenHBand="0" w:firstRowFirstColumn="0" w:firstRowLastColumn="0" w:lastRowFirstColumn="0" w:lastRowLastColumn="0"/>
          <w:trHeight w:val="290"/>
        </w:trPr>
        <w:tc>
          <w:tcPr>
            <w:tcW w:w="8755" w:type="dxa"/>
            <w:gridSpan w:val="4"/>
          </w:tcPr>
          <w:p w:rsidR="00391319" w:rsidRPr="00391319" w:rsidRDefault="00391319" w:rsidP="00391319">
            <w:pPr>
              <w:autoSpaceDE w:val="0"/>
              <w:autoSpaceDN w:val="0"/>
              <w:adjustRightInd w:val="0"/>
              <w:jc w:val="left"/>
              <w:rPr>
                <w:rFonts w:ascii="Arial" w:hAnsi="Arial" w:cs="Arial"/>
                <w:i/>
                <w:color w:val="000000"/>
                <w:szCs w:val="18"/>
              </w:rPr>
            </w:pPr>
            <w:r w:rsidRPr="00391319">
              <w:rPr>
                <w:rFonts w:ascii="Arial" w:hAnsi="Arial" w:cs="Arial"/>
                <w:i/>
                <w:color w:val="000000"/>
                <w:szCs w:val="18"/>
              </w:rPr>
              <w:t>ποσά σε €</w:t>
            </w:r>
          </w:p>
          <w:p w:rsidR="00391319" w:rsidRPr="00391319" w:rsidRDefault="00391319" w:rsidP="00391319">
            <w:pPr>
              <w:autoSpaceDE w:val="0"/>
              <w:autoSpaceDN w:val="0"/>
              <w:adjustRightInd w:val="0"/>
              <w:rPr>
                <w:rFonts w:ascii="Arial" w:hAnsi="Arial" w:cs="Arial"/>
                <w:i/>
                <w:color w:val="000000"/>
                <w:szCs w:val="18"/>
              </w:rPr>
            </w:pPr>
            <w:r w:rsidRPr="00391319">
              <w:rPr>
                <w:rFonts w:ascii="Arial" w:hAnsi="Arial" w:cs="Arial"/>
                <w:i/>
                <w:color w:val="000000"/>
                <w:szCs w:val="18"/>
              </w:rPr>
              <w:t xml:space="preserve">Πηγή: </w:t>
            </w:r>
            <w:r w:rsidRPr="00391319">
              <w:rPr>
                <w:rFonts w:ascii="Arial" w:hAnsi="Arial" w:cs="Arial"/>
                <w:i/>
                <w:color w:val="000000"/>
                <w:szCs w:val="18"/>
                <w:lang w:val="en-US"/>
              </w:rPr>
              <w:t>ICAP</w:t>
            </w:r>
            <w:r w:rsidRPr="00391319">
              <w:rPr>
                <w:rFonts w:ascii="Arial" w:hAnsi="Arial" w:cs="Arial"/>
                <w:i/>
                <w:color w:val="000000"/>
                <w:szCs w:val="18"/>
              </w:rPr>
              <w:t xml:space="preserve"> </w:t>
            </w:r>
            <w:r w:rsidRPr="00391319">
              <w:rPr>
                <w:rFonts w:ascii="Arial" w:hAnsi="Arial" w:cs="Arial"/>
                <w:i/>
                <w:color w:val="000000"/>
                <w:szCs w:val="18"/>
                <w:lang w:val="en-US"/>
              </w:rPr>
              <w:t>Group</w:t>
            </w:r>
            <w:r w:rsidRPr="00391319">
              <w:rPr>
                <w:rFonts w:ascii="Arial" w:hAnsi="Arial" w:cs="Arial"/>
                <w:i/>
                <w:color w:val="000000"/>
                <w:szCs w:val="18"/>
              </w:rPr>
              <w:t xml:space="preserve"> </w:t>
            </w:r>
            <w:r w:rsidRPr="00391319">
              <w:rPr>
                <w:rFonts w:ascii="Arial" w:hAnsi="Arial" w:cs="Arial"/>
                <w:i/>
                <w:color w:val="000000"/>
                <w:szCs w:val="18"/>
                <w:lang w:val="en-US"/>
              </w:rPr>
              <w:t>AE</w:t>
            </w:r>
            <w:r w:rsidRPr="00391319">
              <w:rPr>
                <w:rFonts w:ascii="Arial" w:hAnsi="Arial" w:cs="Arial"/>
                <w:i/>
                <w:color w:val="000000"/>
                <w:szCs w:val="18"/>
              </w:rPr>
              <w:t xml:space="preserve"> </w:t>
            </w:r>
          </w:p>
        </w:tc>
      </w:tr>
    </w:tbl>
    <w:p w:rsidR="00F96231" w:rsidRPr="00FE74B2" w:rsidRDefault="00F96231" w:rsidP="00597AB7">
      <w:pPr>
        <w:pStyle w:val="20140"/>
        <w:spacing w:before="0" w:after="0" w:line="360" w:lineRule="auto"/>
        <w:rPr>
          <w:rFonts w:ascii="Arial" w:hAnsi="Arial" w:cs="Arial"/>
          <w:sz w:val="20"/>
          <w:szCs w:val="20"/>
        </w:rPr>
        <w:sectPr w:rsidR="00F96231" w:rsidRPr="00FE74B2">
          <w:pgSz w:w="11906" w:h="16838"/>
          <w:pgMar w:top="1440" w:right="1800" w:bottom="1440" w:left="1800" w:header="708" w:footer="708" w:gutter="0"/>
          <w:cols w:space="708"/>
          <w:docGrid w:linePitch="360"/>
        </w:sectPr>
      </w:pPr>
    </w:p>
    <w:p w:rsidR="00232DA4" w:rsidRPr="00500417" w:rsidRDefault="00232DA4" w:rsidP="00FE74B2">
      <w:pPr>
        <w:pStyle w:val="20140"/>
        <w:spacing w:before="0" w:after="0" w:line="360" w:lineRule="auto"/>
        <w:jc w:val="center"/>
        <w:rPr>
          <w:rFonts w:ascii="Arial" w:hAnsi="Arial" w:cs="Arial"/>
          <w:sz w:val="20"/>
          <w:szCs w:val="20"/>
        </w:rPr>
      </w:pPr>
      <w:r w:rsidRPr="00500417">
        <w:rPr>
          <w:rFonts w:ascii="Arial" w:hAnsi="Arial" w:cs="Arial"/>
          <w:sz w:val="20"/>
          <w:szCs w:val="20"/>
        </w:rPr>
        <w:lastRenderedPageBreak/>
        <w:t xml:space="preserve">Ανάλυση </w:t>
      </w:r>
      <w:r w:rsidRPr="00500417">
        <w:rPr>
          <w:rFonts w:ascii="Arial" w:hAnsi="Arial" w:cs="Arial"/>
          <w:sz w:val="20"/>
          <w:szCs w:val="20"/>
          <w:lang w:val="en-US"/>
        </w:rPr>
        <w:t>SWOT</w:t>
      </w:r>
      <w:bookmarkEnd w:id="13"/>
    </w:p>
    <w:tbl>
      <w:tblPr>
        <w:tblW w:w="10140" w:type="dxa"/>
        <w:tblInd w:w="-9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070"/>
        <w:gridCol w:w="5070"/>
      </w:tblGrid>
      <w:tr w:rsidR="00232DA4" w:rsidRPr="00500417" w:rsidTr="00FE74B2">
        <w:trPr>
          <w:trHeight w:val="57"/>
        </w:trPr>
        <w:tc>
          <w:tcPr>
            <w:tcW w:w="5070" w:type="dxa"/>
            <w:shd w:val="clear" w:color="auto" w:fill="0070C0"/>
            <w:vAlign w:val="center"/>
          </w:tcPr>
          <w:p w:rsidR="00232DA4" w:rsidRPr="00500417" w:rsidRDefault="00232DA4" w:rsidP="00597AB7">
            <w:pPr>
              <w:spacing w:after="0" w:line="360" w:lineRule="auto"/>
              <w:jc w:val="right"/>
              <w:rPr>
                <w:rFonts w:ascii="Arial" w:hAnsi="Arial" w:cs="Arial"/>
                <w:b/>
                <w:color w:val="FFFFFF"/>
                <w:sz w:val="20"/>
                <w:szCs w:val="20"/>
              </w:rPr>
            </w:pPr>
            <w:r w:rsidRPr="00500417">
              <w:rPr>
                <w:rFonts w:ascii="Arial" w:hAnsi="Arial" w:cs="Arial"/>
                <w:b/>
                <w:color w:val="FFFFFF"/>
                <w:sz w:val="20"/>
                <w:szCs w:val="20"/>
              </w:rPr>
              <w:t>Δυνατά Σημεία</w:t>
            </w:r>
          </w:p>
        </w:tc>
        <w:tc>
          <w:tcPr>
            <w:tcW w:w="5070" w:type="dxa"/>
            <w:shd w:val="clear" w:color="auto" w:fill="FFC000"/>
            <w:vAlign w:val="center"/>
          </w:tcPr>
          <w:p w:rsidR="00232DA4" w:rsidRPr="00500417" w:rsidRDefault="00232DA4" w:rsidP="00597AB7">
            <w:pPr>
              <w:spacing w:after="0" w:line="360" w:lineRule="auto"/>
              <w:rPr>
                <w:rFonts w:ascii="Arial" w:hAnsi="Arial" w:cs="Arial"/>
                <w:b/>
                <w:color w:val="FFFFFF"/>
                <w:sz w:val="20"/>
                <w:szCs w:val="20"/>
              </w:rPr>
            </w:pPr>
            <w:r w:rsidRPr="00500417">
              <w:rPr>
                <w:rFonts w:ascii="Arial" w:hAnsi="Arial" w:cs="Arial"/>
                <w:b/>
                <w:color w:val="FFFFFF"/>
                <w:sz w:val="20"/>
                <w:szCs w:val="20"/>
              </w:rPr>
              <w:t>Αδύνατα Σημεία</w:t>
            </w:r>
          </w:p>
        </w:tc>
      </w:tr>
      <w:tr w:rsidR="00232DA4" w:rsidRPr="00500417" w:rsidTr="00FE74B2">
        <w:trPr>
          <w:trHeight w:val="57"/>
        </w:trPr>
        <w:tc>
          <w:tcPr>
            <w:tcW w:w="5070" w:type="dxa"/>
            <w:shd w:val="clear" w:color="auto" w:fill="BDDEFF"/>
          </w:tcPr>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Στον κλάδο δραστηριοποιούνται (μεταξύ άλλων) μεγάλες, οργανωμένες εταιρείες και επιχειρηματικοί όμιλοι, με μακρά εμπειρία στο χώρο της υγείας.</w:t>
            </w:r>
          </w:p>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Τα χρόνια διαρθρωτικά προβλήματα και η αδυναμία του δημόσιου τομέα να καλύψει επαρκώς τη ζήτηση, αλλά και να ικανοποιήσει τις απαιτήσεις των ασθενών (ελλιπε</w:t>
            </w:r>
            <w:r w:rsidR="00FE74B2">
              <w:rPr>
                <w:rFonts w:ascii="Arial" w:hAnsi="Arial" w:cs="Arial"/>
                <w:sz w:val="20"/>
                <w:szCs w:val="20"/>
              </w:rPr>
              <w:t>ίς υποδομές, έλλειψη ιατρικού–</w:t>
            </w:r>
            <w:r w:rsidRPr="00500417">
              <w:rPr>
                <w:rFonts w:ascii="Arial" w:hAnsi="Arial" w:cs="Arial"/>
                <w:sz w:val="20"/>
                <w:szCs w:val="20"/>
              </w:rPr>
              <w:t>νοσηλευτικού προσωπικού κ.ά.).</w:t>
            </w:r>
          </w:p>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Η τάση σταδιακής γήρανσης του πληθυσμού.</w:t>
            </w:r>
          </w:p>
          <w:p w:rsidR="00232DA4" w:rsidRPr="00FE74B2" w:rsidRDefault="00232DA4" w:rsidP="00FE74B2">
            <w:pPr>
              <w:pStyle w:val="2010BULLET"/>
              <w:spacing w:after="0" w:line="360" w:lineRule="auto"/>
              <w:ind w:left="600"/>
              <w:rPr>
                <w:rFonts w:ascii="Arial" w:hAnsi="Arial" w:cs="Arial"/>
                <w:sz w:val="20"/>
                <w:szCs w:val="20"/>
              </w:rPr>
            </w:pPr>
            <w:r w:rsidRPr="00500417">
              <w:rPr>
                <w:rFonts w:ascii="Arial" w:hAnsi="Arial" w:cs="Arial"/>
                <w:sz w:val="20"/>
                <w:szCs w:val="20"/>
              </w:rPr>
              <w:t xml:space="preserve">Η εξέλιξη της ιατρικής επιστήμης και τεχνολογίας και η ταχεία προσαρμογή των μεγάλων κυρίως ιδιωτικών μονάδων </w:t>
            </w:r>
            <w:proofErr w:type="spellStart"/>
            <w:r w:rsidRPr="00500417">
              <w:rPr>
                <w:rFonts w:ascii="Arial" w:hAnsi="Arial" w:cs="Arial"/>
                <w:sz w:val="20"/>
                <w:szCs w:val="20"/>
              </w:rPr>
              <w:t>σ΄αυτήν</w:t>
            </w:r>
            <w:proofErr w:type="spellEnd"/>
            <w:r w:rsidRPr="00500417">
              <w:rPr>
                <w:rFonts w:ascii="Arial" w:hAnsi="Arial" w:cs="Arial"/>
                <w:sz w:val="20"/>
                <w:szCs w:val="20"/>
              </w:rPr>
              <w:t>.</w:t>
            </w:r>
          </w:p>
        </w:tc>
        <w:tc>
          <w:tcPr>
            <w:tcW w:w="5070" w:type="dxa"/>
            <w:shd w:val="clear" w:color="auto" w:fill="FDFDCB"/>
          </w:tcPr>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Το ισχύον θεσμικό πλαίσιο το οποίο θέτει κάποιους φραγμούς στην ίδρυση νέων ιατρικών κέντρων. Αυστηρές θεωρούνται οι οικοδομικές προδιαγραφές σχετικά με την κατασκευή μιας νέας ιδιωτικής κλινικής.</w:t>
            </w:r>
          </w:p>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 xml:space="preserve">Συχνές αλλαγές στον τρόπο λειτουργίας και τιμολόγησης του ΕΟΠΥΥ. </w:t>
            </w:r>
          </w:p>
          <w:p w:rsidR="00232DA4" w:rsidRPr="00500417" w:rsidRDefault="00232DA4" w:rsidP="00597AB7">
            <w:pPr>
              <w:pStyle w:val="2010BULLET"/>
              <w:numPr>
                <w:ilvl w:val="0"/>
                <w:numId w:val="0"/>
              </w:numPr>
              <w:spacing w:after="0" w:line="360" w:lineRule="auto"/>
              <w:ind w:left="600"/>
              <w:rPr>
                <w:rFonts w:ascii="Arial" w:hAnsi="Arial" w:cs="Arial"/>
                <w:sz w:val="20"/>
                <w:szCs w:val="20"/>
              </w:rPr>
            </w:pPr>
          </w:p>
        </w:tc>
      </w:tr>
      <w:tr w:rsidR="00232DA4" w:rsidRPr="00500417" w:rsidTr="00FE74B2">
        <w:trPr>
          <w:trHeight w:val="57"/>
        </w:trPr>
        <w:tc>
          <w:tcPr>
            <w:tcW w:w="5070" w:type="dxa"/>
            <w:shd w:val="clear" w:color="auto" w:fill="00A44A"/>
            <w:vAlign w:val="center"/>
          </w:tcPr>
          <w:p w:rsidR="00232DA4" w:rsidRPr="00500417" w:rsidRDefault="00232DA4" w:rsidP="00597AB7">
            <w:pPr>
              <w:spacing w:after="0" w:line="360" w:lineRule="auto"/>
              <w:jc w:val="right"/>
              <w:rPr>
                <w:rFonts w:ascii="Arial" w:hAnsi="Arial" w:cs="Arial"/>
                <w:b/>
                <w:color w:val="FFFFFF"/>
                <w:sz w:val="20"/>
                <w:szCs w:val="20"/>
              </w:rPr>
            </w:pPr>
            <w:r w:rsidRPr="00500417">
              <w:rPr>
                <w:rFonts w:ascii="Arial" w:hAnsi="Arial" w:cs="Arial"/>
                <w:b/>
                <w:color w:val="FFFFFF"/>
                <w:sz w:val="20"/>
                <w:szCs w:val="20"/>
              </w:rPr>
              <w:t>Ευκαιρίες</w:t>
            </w:r>
          </w:p>
        </w:tc>
        <w:tc>
          <w:tcPr>
            <w:tcW w:w="5070" w:type="dxa"/>
            <w:shd w:val="clear" w:color="auto" w:fill="C00000"/>
            <w:vAlign w:val="center"/>
          </w:tcPr>
          <w:p w:rsidR="00232DA4" w:rsidRPr="00500417" w:rsidRDefault="00232DA4" w:rsidP="00597AB7">
            <w:pPr>
              <w:spacing w:after="0" w:line="360" w:lineRule="auto"/>
              <w:rPr>
                <w:rFonts w:ascii="Arial" w:hAnsi="Arial" w:cs="Arial"/>
                <w:b/>
                <w:color w:val="FFFFFF"/>
                <w:sz w:val="20"/>
                <w:szCs w:val="20"/>
              </w:rPr>
            </w:pPr>
            <w:r w:rsidRPr="00500417">
              <w:rPr>
                <w:rFonts w:ascii="Arial" w:hAnsi="Arial" w:cs="Arial"/>
                <w:b/>
                <w:color w:val="FFFFFF"/>
                <w:sz w:val="20"/>
                <w:szCs w:val="20"/>
              </w:rPr>
              <w:t>Απειλές</w:t>
            </w:r>
          </w:p>
        </w:tc>
      </w:tr>
      <w:tr w:rsidR="00232DA4" w:rsidRPr="00500417" w:rsidTr="00FE74B2">
        <w:trPr>
          <w:trHeight w:val="57"/>
        </w:trPr>
        <w:tc>
          <w:tcPr>
            <w:tcW w:w="5070" w:type="dxa"/>
            <w:shd w:val="clear" w:color="auto" w:fill="EBF6DE"/>
          </w:tcPr>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 xml:space="preserve"> Η επέκταση σε αγορές του εξωτερικού και ιδιαίτερα της Ανατολικής Ευρώπης και του Αραβικού κόσμου.</w:t>
            </w:r>
          </w:p>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Η περαιτέρω επέκταση των μονάδων υγείας στην Ελλάδα, πέραν των γεωγραφικών ορίων της Αθήνας και της Θεσσαλονίκης</w:t>
            </w:r>
          </w:p>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Η ανάπτυξη του ιατρικού τουρισμού.</w:t>
            </w:r>
          </w:p>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 xml:space="preserve">Η εφαρμογή των Κλειστών Ενοποιημένων </w:t>
            </w:r>
            <w:proofErr w:type="spellStart"/>
            <w:r w:rsidRPr="00500417">
              <w:rPr>
                <w:rFonts w:ascii="Arial" w:hAnsi="Arial" w:cs="Arial"/>
                <w:sz w:val="20"/>
                <w:szCs w:val="20"/>
              </w:rPr>
              <w:t>Νοσηλείων</w:t>
            </w:r>
            <w:proofErr w:type="spellEnd"/>
            <w:r w:rsidRPr="00500417">
              <w:rPr>
                <w:rFonts w:ascii="Arial" w:hAnsi="Arial" w:cs="Arial"/>
                <w:sz w:val="20"/>
                <w:szCs w:val="20"/>
              </w:rPr>
              <w:t xml:space="preserve"> (ΚΕΝ) στα πλαίσια λειτουργίας του ΕΟΠΥΥ.</w:t>
            </w:r>
          </w:p>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Η σύναψη συνεργασιών με ιατρικούς επιχειρηματικούς ομίλους του εξωτερικού, με σκοπό την ανάπτυξη νέων καινοτόμων υπηρεσιών.</w:t>
            </w:r>
          </w:p>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Η σύναψη συμβάσεων με ιδιωτικές ασφαλιστικές εταιρείες.</w:t>
            </w:r>
          </w:p>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 xml:space="preserve">Η εξειδίκευση στην παροχή υπηρεσιών υγείας σε τομείς όπου υπάρχει </w:t>
            </w:r>
            <w:proofErr w:type="spellStart"/>
            <w:r w:rsidRPr="00500417">
              <w:rPr>
                <w:rFonts w:ascii="Arial" w:hAnsi="Arial" w:cs="Arial"/>
                <w:sz w:val="20"/>
                <w:szCs w:val="20"/>
              </w:rPr>
              <w:t>ελλειπής</w:t>
            </w:r>
            <w:proofErr w:type="spellEnd"/>
            <w:r w:rsidRPr="00500417">
              <w:rPr>
                <w:rFonts w:ascii="Arial" w:hAnsi="Arial" w:cs="Arial"/>
                <w:sz w:val="20"/>
                <w:szCs w:val="20"/>
              </w:rPr>
              <w:t xml:space="preserve"> κάλυψη και προσφορά (π.χ. κέντρα αποκατάστασης, κέντρα ευεξίας, μονάδες φροντίδας ηλικιωμένων κλπ.).</w:t>
            </w:r>
          </w:p>
        </w:tc>
        <w:tc>
          <w:tcPr>
            <w:tcW w:w="5070" w:type="dxa"/>
            <w:shd w:val="clear" w:color="auto" w:fill="FFCDBD"/>
          </w:tcPr>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Η παρατεταμένη οικονομική ύφεση που πλήττει τη χώρα και η μείωση του διαθέσιμου εισοδήματος των ιδιωτών, συνθέτουν ένα περιβάλλον αβεβαιότητας.</w:t>
            </w:r>
          </w:p>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Τα προβλήματα ρευστότητας και οι καθυστερήσεις στις πληρωμές από την πλευρά του ΕΟΠΥΥ και άλλων ασφαλιστικών ταμείων.</w:t>
            </w:r>
          </w:p>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Η επιβολή υψηλών συντελεστών Φ.Π.Α. και έκτακτων εισφορών.</w:t>
            </w:r>
          </w:p>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Η έλλειψη ρευστότητας και η στενότητα στην τραπεζική χρηματοδότηση.</w:t>
            </w:r>
          </w:p>
          <w:p w:rsidR="00232DA4" w:rsidRPr="00500417" w:rsidRDefault="00232DA4" w:rsidP="00597AB7">
            <w:pPr>
              <w:pStyle w:val="2010BULLET"/>
              <w:spacing w:after="0" w:line="360" w:lineRule="auto"/>
              <w:ind w:left="600"/>
              <w:rPr>
                <w:rFonts w:ascii="Arial" w:hAnsi="Arial" w:cs="Arial"/>
                <w:sz w:val="20"/>
                <w:szCs w:val="20"/>
              </w:rPr>
            </w:pPr>
            <w:r w:rsidRPr="00500417">
              <w:rPr>
                <w:rFonts w:ascii="Arial" w:hAnsi="Arial" w:cs="Arial"/>
                <w:sz w:val="20"/>
                <w:szCs w:val="20"/>
              </w:rPr>
              <w:t xml:space="preserve">Έκτακτες και απρόβλεπτες αποφάσεις της Πολιτείας (π.χ. </w:t>
            </w:r>
            <w:proofErr w:type="gramStart"/>
            <w:r w:rsidRPr="00500417">
              <w:rPr>
                <w:rFonts w:ascii="Arial" w:hAnsi="Arial" w:cs="Arial"/>
                <w:sz w:val="20"/>
                <w:szCs w:val="20"/>
                <w:lang w:val="en-US"/>
              </w:rPr>
              <w:t>rebate</w:t>
            </w:r>
            <w:proofErr w:type="gramEnd"/>
            <w:r w:rsidRPr="00500417">
              <w:rPr>
                <w:rFonts w:ascii="Arial" w:hAnsi="Arial" w:cs="Arial"/>
                <w:sz w:val="20"/>
                <w:szCs w:val="20"/>
              </w:rPr>
              <w:t xml:space="preserve">, </w:t>
            </w:r>
            <w:proofErr w:type="spellStart"/>
            <w:r w:rsidRPr="00500417">
              <w:rPr>
                <w:rFonts w:ascii="Arial" w:hAnsi="Arial" w:cs="Arial"/>
                <w:sz w:val="20"/>
                <w:szCs w:val="20"/>
                <w:lang w:val="en-US"/>
              </w:rPr>
              <w:t>clawback</w:t>
            </w:r>
            <w:proofErr w:type="spellEnd"/>
            <w:r w:rsidRPr="00500417">
              <w:rPr>
                <w:rFonts w:ascii="Arial" w:hAnsi="Arial" w:cs="Arial"/>
                <w:sz w:val="20"/>
                <w:szCs w:val="20"/>
              </w:rPr>
              <w:t>) που επιβαρύνουν σημαντικά τα οικονομικά μεγέθη του κλάδου.</w:t>
            </w:r>
          </w:p>
          <w:p w:rsidR="00232DA4" w:rsidRPr="00500417" w:rsidRDefault="00232DA4" w:rsidP="00597AB7">
            <w:pPr>
              <w:pStyle w:val="2010BULLET"/>
              <w:numPr>
                <w:ilvl w:val="0"/>
                <w:numId w:val="0"/>
              </w:numPr>
              <w:spacing w:after="0" w:line="360" w:lineRule="auto"/>
              <w:ind w:left="240"/>
              <w:rPr>
                <w:rFonts w:ascii="Arial" w:hAnsi="Arial" w:cs="Arial"/>
                <w:sz w:val="20"/>
                <w:szCs w:val="20"/>
              </w:rPr>
            </w:pPr>
          </w:p>
        </w:tc>
      </w:tr>
    </w:tbl>
    <w:p w:rsidR="00F95B70" w:rsidRPr="004E7DEE" w:rsidRDefault="00F95B70" w:rsidP="00FE74B2">
      <w:pPr>
        <w:pStyle w:val="a4"/>
        <w:spacing w:after="0" w:line="360" w:lineRule="auto"/>
        <w:rPr>
          <w:rFonts w:ascii="Arial" w:hAnsi="Arial" w:cs="Arial"/>
          <w:sz w:val="20"/>
          <w:szCs w:val="20"/>
        </w:rPr>
      </w:pPr>
    </w:p>
    <w:p w:rsidR="00F95B70" w:rsidRDefault="00F95B70" w:rsidP="00F95B70">
      <w:pPr>
        <w:shd w:val="pct10" w:color="auto" w:fill="auto"/>
        <w:rPr>
          <w:rFonts w:ascii="Calibri" w:hAnsi="Calibri" w:cs="Calibri"/>
          <w:i/>
          <w:iCs/>
        </w:rPr>
      </w:pPr>
    </w:p>
    <w:p w:rsidR="00F95B70" w:rsidRDefault="00F95B70" w:rsidP="00F95B70">
      <w:pPr>
        <w:rPr>
          <w:rStyle w:val="style531"/>
          <w:color w:val="000000"/>
          <w:sz w:val="22"/>
          <w:szCs w:val="22"/>
        </w:rPr>
      </w:pPr>
    </w:p>
    <w:p w:rsidR="00F95B70" w:rsidRPr="00A4426D" w:rsidRDefault="00F95B70" w:rsidP="00A4426D">
      <w:pPr>
        <w:rPr>
          <w:rFonts w:ascii="Calibri" w:hAnsi="Calibri" w:cs="Calibri"/>
          <w:b/>
          <w:bCs/>
          <w:color w:val="000000"/>
        </w:rPr>
      </w:pPr>
      <w:r w:rsidRPr="00FE74B2">
        <w:rPr>
          <w:rStyle w:val="style531"/>
          <w:rFonts w:ascii="Calibri" w:hAnsi="Calibri" w:cs="Calibri"/>
          <w:b/>
          <w:color w:val="000000"/>
          <w:sz w:val="22"/>
          <w:szCs w:val="22"/>
        </w:rPr>
        <w:t xml:space="preserve">H ICAP </w:t>
      </w:r>
      <w:proofErr w:type="spellStart"/>
      <w:r w:rsidRPr="00FE74B2">
        <w:rPr>
          <w:rStyle w:val="style531"/>
          <w:rFonts w:ascii="Calibri" w:hAnsi="Calibri" w:cs="Calibri"/>
          <w:b/>
          <w:color w:val="000000"/>
          <w:sz w:val="22"/>
          <w:szCs w:val="22"/>
        </w:rPr>
        <w:t>Group</w:t>
      </w:r>
      <w:proofErr w:type="spellEnd"/>
      <w:r w:rsidRPr="00FE74B2">
        <w:rPr>
          <w:rStyle w:val="style531"/>
          <w:rFonts w:ascii="Calibri" w:hAnsi="Calibri" w:cs="Calibri"/>
          <w:b/>
          <w:color w:val="000000"/>
          <w:sz w:val="22"/>
          <w:szCs w:val="22"/>
        </w:rPr>
        <w:t xml:space="preserve"> – με 1.300 εργαζομένους- είναι ο μεγαλύτερος Όμιλος παροχής υπηρεσιών προς επιχειρήσεις στην Ελλάδα, με ισχυρή παρουσία στη Νοτιοανατολική Ευρώπη. Μετά την εξαγορά της από το SEEF Fund της </w:t>
      </w:r>
      <w:proofErr w:type="spellStart"/>
      <w:r w:rsidRPr="00FE74B2">
        <w:rPr>
          <w:rStyle w:val="style531"/>
          <w:rFonts w:ascii="Calibri" w:hAnsi="Calibri" w:cs="Calibri"/>
          <w:b/>
          <w:color w:val="000000"/>
          <w:sz w:val="22"/>
          <w:szCs w:val="22"/>
        </w:rPr>
        <w:t>Global</w:t>
      </w:r>
      <w:proofErr w:type="spellEnd"/>
      <w:r w:rsidRPr="00FE74B2">
        <w:rPr>
          <w:rStyle w:val="style531"/>
          <w:rFonts w:ascii="Calibri" w:hAnsi="Calibri" w:cs="Calibri"/>
          <w:b/>
          <w:color w:val="000000"/>
          <w:sz w:val="22"/>
          <w:szCs w:val="22"/>
        </w:rPr>
        <w:t xml:space="preserve"> </w:t>
      </w:r>
      <w:proofErr w:type="spellStart"/>
      <w:r w:rsidRPr="00FE74B2">
        <w:rPr>
          <w:rStyle w:val="style531"/>
          <w:rFonts w:ascii="Calibri" w:hAnsi="Calibri" w:cs="Calibri"/>
          <w:b/>
          <w:color w:val="000000"/>
          <w:sz w:val="22"/>
          <w:szCs w:val="22"/>
        </w:rPr>
        <w:t>Finance</w:t>
      </w:r>
      <w:proofErr w:type="spellEnd"/>
      <w:r w:rsidRPr="00FE74B2">
        <w:rPr>
          <w:rStyle w:val="style531"/>
          <w:rFonts w:ascii="Calibri" w:hAnsi="Calibri" w:cs="Calibri"/>
          <w:b/>
          <w:color w:val="000000"/>
          <w:sz w:val="22"/>
          <w:szCs w:val="22"/>
        </w:rPr>
        <w:t xml:space="preserve">, έχει αναπτυχθεί ραγδαία και σήμερα παρέχει μεγάλο εύρος υπηρεσιών και προϊόντων που ομαδοποιούνται σε 4 κατηγορίες: </w:t>
      </w:r>
      <w:proofErr w:type="spellStart"/>
      <w:r w:rsidRPr="00FE74B2">
        <w:rPr>
          <w:rStyle w:val="style531"/>
          <w:rFonts w:ascii="Calibri" w:hAnsi="Calibri" w:cs="Calibri"/>
          <w:b/>
          <w:color w:val="000000"/>
          <w:sz w:val="22"/>
          <w:szCs w:val="22"/>
        </w:rPr>
        <w:t>Credit</w:t>
      </w:r>
      <w:proofErr w:type="spellEnd"/>
      <w:r w:rsidRPr="00FE74B2">
        <w:rPr>
          <w:rStyle w:val="style531"/>
          <w:rFonts w:ascii="Calibri" w:hAnsi="Calibri" w:cs="Calibri"/>
          <w:b/>
          <w:color w:val="000000"/>
          <w:sz w:val="22"/>
          <w:szCs w:val="22"/>
        </w:rPr>
        <w:t xml:space="preserve"> </w:t>
      </w:r>
      <w:proofErr w:type="spellStart"/>
      <w:r w:rsidRPr="00FE74B2">
        <w:rPr>
          <w:rStyle w:val="style531"/>
          <w:rFonts w:ascii="Calibri" w:hAnsi="Calibri" w:cs="Calibri"/>
          <w:b/>
          <w:color w:val="000000"/>
          <w:sz w:val="22"/>
          <w:szCs w:val="22"/>
        </w:rPr>
        <w:t>Risk</w:t>
      </w:r>
      <w:proofErr w:type="spellEnd"/>
      <w:r w:rsidRPr="00FE74B2">
        <w:rPr>
          <w:rStyle w:val="style531"/>
          <w:rFonts w:ascii="Calibri" w:hAnsi="Calibri" w:cs="Calibri"/>
          <w:b/>
          <w:color w:val="000000"/>
          <w:sz w:val="22"/>
          <w:szCs w:val="22"/>
        </w:rPr>
        <w:t xml:space="preserve"> Services, </w:t>
      </w:r>
      <w:proofErr w:type="spellStart"/>
      <w:r w:rsidRPr="00FE74B2">
        <w:rPr>
          <w:rStyle w:val="style531"/>
          <w:rFonts w:ascii="Calibri" w:hAnsi="Calibri" w:cs="Calibri"/>
          <w:b/>
          <w:color w:val="000000"/>
          <w:sz w:val="22"/>
          <w:szCs w:val="22"/>
        </w:rPr>
        <w:t>Marketing</w:t>
      </w:r>
      <w:proofErr w:type="spellEnd"/>
      <w:r w:rsidRPr="00FE74B2">
        <w:rPr>
          <w:rStyle w:val="style531"/>
          <w:rFonts w:ascii="Calibri" w:hAnsi="Calibri" w:cs="Calibri"/>
          <w:b/>
          <w:color w:val="000000"/>
          <w:sz w:val="22"/>
          <w:szCs w:val="22"/>
        </w:rPr>
        <w:t xml:space="preserve"> </w:t>
      </w:r>
      <w:proofErr w:type="spellStart"/>
      <w:r w:rsidRPr="00FE74B2">
        <w:rPr>
          <w:rStyle w:val="style531"/>
          <w:rFonts w:ascii="Calibri" w:hAnsi="Calibri" w:cs="Calibri"/>
          <w:b/>
          <w:color w:val="000000"/>
          <w:sz w:val="22"/>
          <w:szCs w:val="22"/>
        </w:rPr>
        <w:t>Solutions</w:t>
      </w:r>
      <w:proofErr w:type="spellEnd"/>
      <w:r w:rsidRPr="00FE74B2">
        <w:rPr>
          <w:rStyle w:val="style531"/>
          <w:rFonts w:ascii="Calibri" w:hAnsi="Calibri" w:cs="Calibri"/>
          <w:b/>
          <w:color w:val="000000"/>
          <w:sz w:val="22"/>
          <w:szCs w:val="22"/>
        </w:rPr>
        <w:t xml:space="preserve">, </w:t>
      </w:r>
      <w:proofErr w:type="spellStart"/>
      <w:r w:rsidRPr="00FE74B2">
        <w:rPr>
          <w:rStyle w:val="style531"/>
          <w:rFonts w:ascii="Calibri" w:hAnsi="Calibri" w:cs="Calibri"/>
          <w:b/>
          <w:color w:val="000000"/>
          <w:sz w:val="22"/>
          <w:szCs w:val="22"/>
        </w:rPr>
        <w:t>Management</w:t>
      </w:r>
      <w:proofErr w:type="spellEnd"/>
      <w:r w:rsidRPr="00FE74B2">
        <w:rPr>
          <w:rStyle w:val="style531"/>
          <w:rFonts w:ascii="Calibri" w:hAnsi="Calibri" w:cs="Calibri"/>
          <w:b/>
          <w:color w:val="000000"/>
          <w:sz w:val="22"/>
          <w:szCs w:val="22"/>
        </w:rPr>
        <w:t xml:space="preserve"> Consulting και </w:t>
      </w:r>
      <w:proofErr w:type="spellStart"/>
      <w:r w:rsidRPr="00FE74B2">
        <w:rPr>
          <w:rStyle w:val="style531"/>
          <w:rFonts w:ascii="Calibri" w:hAnsi="Calibri" w:cs="Calibri"/>
          <w:b/>
          <w:color w:val="000000"/>
          <w:sz w:val="22"/>
          <w:szCs w:val="22"/>
        </w:rPr>
        <w:t>People</w:t>
      </w:r>
      <w:proofErr w:type="spellEnd"/>
      <w:r w:rsidRPr="00FE74B2">
        <w:rPr>
          <w:rStyle w:val="style531"/>
          <w:rFonts w:ascii="Calibri" w:hAnsi="Calibri" w:cs="Calibri"/>
          <w:b/>
          <w:color w:val="000000"/>
          <w:sz w:val="22"/>
          <w:szCs w:val="22"/>
        </w:rPr>
        <w:t xml:space="preserve"> &amp; </w:t>
      </w:r>
      <w:proofErr w:type="spellStart"/>
      <w:r w:rsidRPr="00FE74B2">
        <w:rPr>
          <w:rStyle w:val="style531"/>
          <w:rFonts w:ascii="Calibri" w:hAnsi="Calibri" w:cs="Calibri"/>
          <w:b/>
          <w:color w:val="000000"/>
          <w:sz w:val="22"/>
          <w:szCs w:val="22"/>
        </w:rPr>
        <w:t>Employment</w:t>
      </w:r>
      <w:proofErr w:type="spellEnd"/>
      <w:r w:rsidRPr="00FE74B2">
        <w:rPr>
          <w:rStyle w:val="style531"/>
          <w:rFonts w:ascii="Calibri" w:hAnsi="Calibri" w:cs="Calibri"/>
          <w:b/>
          <w:color w:val="000000"/>
          <w:sz w:val="22"/>
          <w:szCs w:val="22"/>
        </w:rPr>
        <w:t xml:space="preserve"> </w:t>
      </w:r>
      <w:proofErr w:type="spellStart"/>
      <w:r w:rsidRPr="00FE74B2">
        <w:rPr>
          <w:rStyle w:val="style531"/>
          <w:rFonts w:ascii="Calibri" w:hAnsi="Calibri" w:cs="Calibri"/>
          <w:b/>
          <w:color w:val="000000"/>
          <w:sz w:val="22"/>
          <w:szCs w:val="22"/>
        </w:rPr>
        <w:t>Solutions</w:t>
      </w:r>
      <w:proofErr w:type="spellEnd"/>
      <w:r w:rsidRPr="00FE74B2">
        <w:rPr>
          <w:rStyle w:val="style531"/>
          <w:rFonts w:ascii="Calibri" w:hAnsi="Calibri" w:cs="Calibri"/>
          <w:b/>
          <w:color w:val="000000"/>
          <w:sz w:val="22"/>
          <w:szCs w:val="22"/>
        </w:rPr>
        <w:t>.  </w:t>
      </w:r>
    </w:p>
    <w:sectPr w:rsidR="00F95B70" w:rsidRPr="00A4426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554" w:rsidRDefault="00E27554" w:rsidP="00C77C55">
      <w:pPr>
        <w:spacing w:after="0" w:line="240" w:lineRule="auto"/>
      </w:pPr>
      <w:r>
        <w:separator/>
      </w:r>
    </w:p>
  </w:endnote>
  <w:endnote w:type="continuationSeparator" w:id="0">
    <w:p w:rsidR="00E27554" w:rsidRDefault="00E27554" w:rsidP="00C7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F Textbook Light">
    <w:altName w:val="Franklin Gothic Medium Cond"/>
    <w:panose1 w:val="00000000000000000000"/>
    <w:charset w:val="00"/>
    <w:family w:val="modern"/>
    <w:notTrueType/>
    <w:pitch w:val="variable"/>
    <w:sig w:usb0="00000001" w:usb1="00000000" w:usb2="00000000" w:usb3="00000000" w:csb0="00000009" w:csb1="00000000"/>
  </w:font>
  <w:font w:name="BatangChe">
    <w:panose1 w:val="02030609000101010101"/>
    <w:charset w:val="81"/>
    <w:family w:val="modern"/>
    <w:pitch w:val="fixed"/>
    <w:sig w:usb0="B00002AF" w:usb1="69D77CFB" w:usb2="00000030" w:usb3="00000000" w:csb0="0008009F" w:csb1="00000000"/>
  </w:font>
  <w:font w:name="PF Textbook">
    <w:panose1 w:val="00000000000000000000"/>
    <w:charset w:val="00"/>
    <w:family w:val="modern"/>
    <w:notTrueType/>
    <w:pitch w:val="variable"/>
    <w:sig w:usb0="80000083" w:usb1="00000000" w:usb2="00000000" w:usb3="00000000" w:csb0="00000009" w:csb1="00000000"/>
  </w:font>
  <w:font w:name="@Batang">
    <w:panose1 w:val="02030600000101010101"/>
    <w:charset w:val="81"/>
    <w:family w:val="roman"/>
    <w:pitch w:val="variable"/>
    <w:sig w:usb0="B00002AF" w:usb1="69D77CFB" w:usb2="00000030" w:usb3="00000000" w:csb0="000800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939825"/>
      <w:docPartObj>
        <w:docPartGallery w:val="Page Numbers (Bottom of Page)"/>
        <w:docPartUnique/>
      </w:docPartObj>
    </w:sdtPr>
    <w:sdtEndPr>
      <w:rPr>
        <w:noProof/>
      </w:rPr>
    </w:sdtEndPr>
    <w:sdtContent>
      <w:p w:rsidR="00FE74B2" w:rsidRDefault="00FE74B2">
        <w:pPr>
          <w:pStyle w:val="a7"/>
          <w:jc w:val="right"/>
        </w:pPr>
      </w:p>
      <w:tbl>
        <w:tblPr>
          <w:tblW w:w="9975" w:type="dxa"/>
          <w:tblLayout w:type="fixed"/>
          <w:tblLook w:val="04A0" w:firstRow="1" w:lastRow="0" w:firstColumn="1" w:lastColumn="0" w:noHBand="0" w:noVBand="1"/>
        </w:tblPr>
        <w:tblGrid>
          <w:gridCol w:w="5471"/>
          <w:gridCol w:w="4504"/>
        </w:tblGrid>
        <w:tr w:rsidR="00FE74B2" w:rsidTr="00F95B70">
          <w:trPr>
            <w:cantSplit/>
          </w:trPr>
          <w:tc>
            <w:tcPr>
              <w:tcW w:w="5471" w:type="dxa"/>
            </w:tcPr>
            <w:p w:rsidR="00FE74B2" w:rsidRDefault="00FE74B2">
              <w:pPr>
                <w:pStyle w:val="a7"/>
                <w:tabs>
                  <w:tab w:val="clear" w:pos="4153"/>
                  <w:tab w:val="left" w:pos="851"/>
                  <w:tab w:val="center" w:pos="3969"/>
                  <w:tab w:val="left" w:pos="4820"/>
                </w:tabs>
                <w:ind w:left="-852"/>
                <w:rPr>
                  <w:color w:val="000000"/>
                  <w:spacing w:val="10"/>
                  <w:sz w:val="14"/>
                  <w:lang w:val="en-US"/>
                </w:rPr>
              </w:pPr>
            </w:p>
          </w:tc>
          <w:tc>
            <w:tcPr>
              <w:tcW w:w="4504" w:type="dxa"/>
              <w:vMerge w:val="restart"/>
              <w:vAlign w:val="center"/>
            </w:tcPr>
            <w:p w:rsidR="00FE74B2" w:rsidRDefault="00FE74B2" w:rsidP="00F95B70">
              <w:pPr>
                <w:pStyle w:val="a7"/>
                <w:tabs>
                  <w:tab w:val="clear" w:pos="4153"/>
                  <w:tab w:val="left" w:pos="851"/>
                  <w:tab w:val="center" w:pos="3969"/>
                  <w:tab w:val="left" w:pos="4820"/>
                </w:tabs>
                <w:jc w:val="right"/>
                <w:rPr>
                  <w:color w:val="000000"/>
                  <w:spacing w:val="10"/>
                  <w:sz w:val="14"/>
                  <w:lang w:val="en-GB"/>
                </w:rPr>
              </w:pPr>
            </w:p>
          </w:tc>
        </w:tr>
        <w:tr w:rsidR="00FE74B2" w:rsidTr="00FE74B2">
          <w:trPr>
            <w:cantSplit/>
          </w:trPr>
          <w:tc>
            <w:tcPr>
              <w:tcW w:w="5471" w:type="dxa"/>
            </w:tcPr>
            <w:p w:rsidR="00FE74B2" w:rsidRDefault="00FE74B2">
              <w:pPr>
                <w:pStyle w:val="a7"/>
                <w:tabs>
                  <w:tab w:val="clear" w:pos="4153"/>
                  <w:tab w:val="left" w:pos="851"/>
                  <w:tab w:val="center" w:pos="3969"/>
                  <w:tab w:val="left" w:pos="4820"/>
                </w:tabs>
                <w:rPr>
                  <w:rFonts w:ascii="Verdana" w:hAnsi="Verdana" w:cs="Calibri"/>
                  <w:b/>
                  <w:color w:val="808080"/>
                  <w:sz w:val="16"/>
                  <w:szCs w:val="16"/>
                  <w:lang w:val="en-US"/>
                </w:rPr>
              </w:pPr>
            </w:p>
          </w:tc>
          <w:tc>
            <w:tcPr>
              <w:tcW w:w="4504" w:type="dxa"/>
              <w:vMerge/>
              <w:vAlign w:val="center"/>
            </w:tcPr>
            <w:p w:rsidR="00FE74B2" w:rsidRDefault="00FE74B2">
              <w:pPr>
                <w:spacing w:line="240" w:lineRule="auto"/>
                <w:rPr>
                  <w:rFonts w:ascii="Times New Roman" w:hAnsi="Times New Roman"/>
                  <w:color w:val="000000"/>
                  <w:spacing w:val="10"/>
                  <w:sz w:val="14"/>
                  <w:szCs w:val="24"/>
                  <w:lang w:val="en-GB"/>
                </w:rPr>
              </w:pPr>
            </w:p>
          </w:tc>
        </w:tr>
        <w:tr w:rsidR="00FE74B2" w:rsidTr="00FE74B2">
          <w:trPr>
            <w:cantSplit/>
          </w:trPr>
          <w:tc>
            <w:tcPr>
              <w:tcW w:w="5471" w:type="dxa"/>
            </w:tcPr>
            <w:p w:rsidR="00FE74B2" w:rsidRDefault="00FE74B2">
              <w:pPr>
                <w:pStyle w:val="a7"/>
                <w:tabs>
                  <w:tab w:val="clear" w:pos="4153"/>
                  <w:tab w:val="left" w:pos="851"/>
                  <w:tab w:val="center" w:pos="3969"/>
                  <w:tab w:val="left" w:pos="4820"/>
                </w:tabs>
                <w:rPr>
                  <w:rFonts w:ascii="Verdana" w:hAnsi="Verdana" w:cs="Calibri"/>
                  <w:color w:val="808080"/>
                  <w:spacing w:val="10"/>
                  <w:sz w:val="14"/>
                </w:rPr>
              </w:pPr>
            </w:p>
          </w:tc>
          <w:tc>
            <w:tcPr>
              <w:tcW w:w="4504" w:type="dxa"/>
              <w:vMerge/>
              <w:vAlign w:val="center"/>
            </w:tcPr>
            <w:p w:rsidR="00FE74B2" w:rsidRDefault="00FE74B2">
              <w:pPr>
                <w:spacing w:line="240" w:lineRule="auto"/>
                <w:rPr>
                  <w:rFonts w:ascii="Times New Roman" w:hAnsi="Times New Roman"/>
                  <w:color w:val="000000"/>
                  <w:spacing w:val="10"/>
                  <w:sz w:val="14"/>
                  <w:szCs w:val="24"/>
                  <w:lang w:val="en-GB"/>
                </w:rPr>
              </w:pPr>
            </w:p>
          </w:tc>
        </w:tr>
        <w:tr w:rsidR="00FE74B2" w:rsidTr="00FE74B2">
          <w:trPr>
            <w:cantSplit/>
          </w:trPr>
          <w:tc>
            <w:tcPr>
              <w:tcW w:w="5471" w:type="dxa"/>
            </w:tcPr>
            <w:p w:rsidR="00FE74B2" w:rsidRDefault="00FE74B2">
              <w:pPr>
                <w:pStyle w:val="a7"/>
                <w:tabs>
                  <w:tab w:val="clear" w:pos="4153"/>
                  <w:tab w:val="left" w:pos="851"/>
                  <w:tab w:val="center" w:pos="3969"/>
                  <w:tab w:val="left" w:pos="4820"/>
                </w:tabs>
                <w:rPr>
                  <w:rFonts w:ascii="Verdana" w:hAnsi="Verdana" w:cs="Calibri"/>
                  <w:color w:val="808080"/>
                  <w:spacing w:val="10"/>
                  <w:sz w:val="14"/>
                </w:rPr>
              </w:pPr>
            </w:p>
          </w:tc>
          <w:tc>
            <w:tcPr>
              <w:tcW w:w="4504" w:type="dxa"/>
              <w:vMerge/>
              <w:vAlign w:val="center"/>
            </w:tcPr>
            <w:p w:rsidR="00FE74B2" w:rsidRDefault="00FE74B2">
              <w:pPr>
                <w:spacing w:line="240" w:lineRule="auto"/>
                <w:rPr>
                  <w:rFonts w:ascii="Times New Roman" w:hAnsi="Times New Roman"/>
                  <w:color w:val="000000"/>
                  <w:spacing w:val="10"/>
                  <w:sz w:val="14"/>
                  <w:szCs w:val="24"/>
                  <w:lang w:val="en-GB"/>
                </w:rPr>
              </w:pPr>
            </w:p>
          </w:tc>
        </w:tr>
        <w:tr w:rsidR="00FE74B2" w:rsidTr="00FE74B2">
          <w:trPr>
            <w:cantSplit/>
          </w:trPr>
          <w:tc>
            <w:tcPr>
              <w:tcW w:w="5471" w:type="dxa"/>
            </w:tcPr>
            <w:p w:rsidR="00FE74B2" w:rsidRDefault="00FE74B2">
              <w:pPr>
                <w:pStyle w:val="a7"/>
                <w:tabs>
                  <w:tab w:val="clear" w:pos="4153"/>
                  <w:tab w:val="left" w:pos="851"/>
                  <w:tab w:val="center" w:pos="3969"/>
                  <w:tab w:val="left" w:pos="4820"/>
                </w:tabs>
                <w:rPr>
                  <w:rFonts w:ascii="Verdana" w:hAnsi="Verdana" w:cs="Calibri"/>
                  <w:color w:val="000000"/>
                  <w:spacing w:val="10"/>
                  <w:sz w:val="14"/>
                </w:rPr>
              </w:pPr>
            </w:p>
          </w:tc>
          <w:tc>
            <w:tcPr>
              <w:tcW w:w="4504" w:type="dxa"/>
              <w:vMerge/>
              <w:vAlign w:val="center"/>
            </w:tcPr>
            <w:p w:rsidR="00FE74B2" w:rsidRDefault="00FE74B2">
              <w:pPr>
                <w:spacing w:line="240" w:lineRule="auto"/>
                <w:rPr>
                  <w:rFonts w:ascii="Times New Roman" w:hAnsi="Times New Roman"/>
                  <w:color w:val="000000"/>
                  <w:spacing w:val="10"/>
                  <w:sz w:val="14"/>
                  <w:szCs w:val="24"/>
                  <w:lang w:val="en-GB"/>
                </w:rPr>
              </w:pPr>
            </w:p>
          </w:tc>
        </w:tr>
        <w:tr w:rsidR="00FE74B2" w:rsidTr="00FE74B2">
          <w:trPr>
            <w:cantSplit/>
            <w:trHeight w:val="80"/>
          </w:trPr>
          <w:tc>
            <w:tcPr>
              <w:tcW w:w="5471" w:type="dxa"/>
            </w:tcPr>
            <w:p w:rsidR="00FE74B2" w:rsidRDefault="00FE74B2">
              <w:pPr>
                <w:pStyle w:val="a7"/>
                <w:tabs>
                  <w:tab w:val="clear" w:pos="4153"/>
                  <w:tab w:val="left" w:pos="851"/>
                  <w:tab w:val="center" w:pos="3969"/>
                  <w:tab w:val="left" w:pos="4820"/>
                </w:tabs>
                <w:rPr>
                  <w:rFonts w:ascii="Verdana" w:hAnsi="Verdana" w:cs="Calibri"/>
                  <w:color w:val="808080"/>
                  <w:spacing w:val="10"/>
                  <w:sz w:val="14"/>
                </w:rPr>
              </w:pPr>
            </w:p>
          </w:tc>
          <w:tc>
            <w:tcPr>
              <w:tcW w:w="4504" w:type="dxa"/>
              <w:vMerge/>
              <w:vAlign w:val="center"/>
            </w:tcPr>
            <w:p w:rsidR="00FE74B2" w:rsidRDefault="00FE74B2">
              <w:pPr>
                <w:spacing w:line="240" w:lineRule="auto"/>
                <w:rPr>
                  <w:rFonts w:ascii="Times New Roman" w:hAnsi="Times New Roman"/>
                  <w:color w:val="000000"/>
                  <w:spacing w:val="10"/>
                  <w:sz w:val="14"/>
                  <w:szCs w:val="24"/>
                  <w:lang w:val="en-GB"/>
                </w:rPr>
              </w:pPr>
            </w:p>
          </w:tc>
        </w:tr>
        <w:tr w:rsidR="00FE74B2" w:rsidTr="00FE74B2">
          <w:trPr>
            <w:cantSplit/>
          </w:trPr>
          <w:tc>
            <w:tcPr>
              <w:tcW w:w="5471" w:type="dxa"/>
            </w:tcPr>
            <w:p w:rsidR="00FE74B2" w:rsidRDefault="00FE74B2">
              <w:pPr>
                <w:pStyle w:val="a7"/>
                <w:tabs>
                  <w:tab w:val="clear" w:pos="4153"/>
                  <w:tab w:val="left" w:pos="851"/>
                  <w:tab w:val="center" w:pos="3969"/>
                  <w:tab w:val="left" w:pos="4820"/>
                </w:tabs>
                <w:rPr>
                  <w:rFonts w:ascii="Verdana" w:hAnsi="Verdana" w:cs="Calibri"/>
                  <w:color w:val="808080"/>
                  <w:spacing w:val="10"/>
                  <w:sz w:val="14"/>
                  <w:lang w:val="en-US"/>
                </w:rPr>
              </w:pPr>
            </w:p>
          </w:tc>
          <w:tc>
            <w:tcPr>
              <w:tcW w:w="4504" w:type="dxa"/>
              <w:vMerge/>
              <w:vAlign w:val="center"/>
            </w:tcPr>
            <w:p w:rsidR="00FE74B2" w:rsidRDefault="00FE74B2">
              <w:pPr>
                <w:spacing w:line="240" w:lineRule="auto"/>
                <w:rPr>
                  <w:rFonts w:ascii="Times New Roman" w:hAnsi="Times New Roman"/>
                  <w:color w:val="000000"/>
                  <w:spacing w:val="10"/>
                  <w:sz w:val="14"/>
                  <w:szCs w:val="24"/>
                  <w:lang w:val="en-GB"/>
                </w:rPr>
              </w:pPr>
            </w:p>
          </w:tc>
        </w:tr>
        <w:tr w:rsidR="00FE74B2" w:rsidTr="00FE74B2">
          <w:trPr>
            <w:cantSplit/>
          </w:trPr>
          <w:tc>
            <w:tcPr>
              <w:tcW w:w="5471" w:type="dxa"/>
            </w:tcPr>
            <w:p w:rsidR="00FE74B2" w:rsidRDefault="00FE74B2">
              <w:pPr>
                <w:pStyle w:val="a7"/>
                <w:tabs>
                  <w:tab w:val="clear" w:pos="4153"/>
                  <w:tab w:val="left" w:pos="851"/>
                  <w:tab w:val="center" w:pos="3969"/>
                  <w:tab w:val="left" w:pos="4820"/>
                </w:tabs>
                <w:rPr>
                  <w:rFonts w:ascii="Verdana" w:hAnsi="Verdana" w:cs="Calibri"/>
                  <w:color w:val="808080"/>
                  <w:spacing w:val="10"/>
                  <w:sz w:val="14"/>
                  <w:lang w:val="it-IT"/>
                </w:rPr>
              </w:pPr>
            </w:p>
          </w:tc>
          <w:tc>
            <w:tcPr>
              <w:tcW w:w="4504" w:type="dxa"/>
              <w:vMerge/>
              <w:vAlign w:val="center"/>
            </w:tcPr>
            <w:p w:rsidR="00FE74B2" w:rsidRDefault="00FE74B2">
              <w:pPr>
                <w:spacing w:line="240" w:lineRule="auto"/>
                <w:rPr>
                  <w:rFonts w:ascii="Times New Roman" w:hAnsi="Times New Roman"/>
                  <w:color w:val="000000"/>
                  <w:spacing w:val="10"/>
                  <w:sz w:val="14"/>
                  <w:szCs w:val="24"/>
                  <w:lang w:val="en-GB"/>
                </w:rPr>
              </w:pPr>
            </w:p>
          </w:tc>
        </w:tr>
      </w:tbl>
      <w:p w:rsidR="00FE74B2" w:rsidRDefault="00E27554">
        <w:pPr>
          <w:pStyle w:val="a7"/>
          <w:jc w:val="right"/>
        </w:pPr>
      </w:p>
    </w:sdtContent>
  </w:sdt>
  <w:p w:rsidR="00FE74B2" w:rsidRDefault="00FE74B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5" w:type="dxa"/>
      <w:tblLayout w:type="fixed"/>
      <w:tblLook w:val="04A0" w:firstRow="1" w:lastRow="0" w:firstColumn="1" w:lastColumn="0" w:noHBand="0" w:noVBand="1"/>
    </w:tblPr>
    <w:tblGrid>
      <w:gridCol w:w="5471"/>
      <w:gridCol w:w="4504"/>
    </w:tblGrid>
    <w:tr w:rsidR="00FE74B2" w:rsidTr="00FE74B2">
      <w:trPr>
        <w:cantSplit/>
      </w:trPr>
      <w:tc>
        <w:tcPr>
          <w:tcW w:w="5471" w:type="dxa"/>
        </w:tcPr>
        <w:p w:rsidR="00FE74B2" w:rsidRDefault="00FE74B2" w:rsidP="00FE74B2">
          <w:pPr>
            <w:pStyle w:val="a7"/>
            <w:tabs>
              <w:tab w:val="clear" w:pos="4153"/>
              <w:tab w:val="left" w:pos="851"/>
              <w:tab w:val="center" w:pos="3969"/>
              <w:tab w:val="left" w:pos="4820"/>
            </w:tabs>
            <w:ind w:left="-852"/>
            <w:rPr>
              <w:color w:val="000000"/>
              <w:spacing w:val="10"/>
              <w:sz w:val="14"/>
              <w:lang w:val="en-US"/>
            </w:rPr>
          </w:pPr>
        </w:p>
      </w:tc>
      <w:tc>
        <w:tcPr>
          <w:tcW w:w="4504" w:type="dxa"/>
          <w:vMerge w:val="restart"/>
          <w:vAlign w:val="center"/>
        </w:tcPr>
        <w:p w:rsidR="00FE74B2" w:rsidRDefault="00FE74B2" w:rsidP="00FE74B2">
          <w:pPr>
            <w:pStyle w:val="a7"/>
            <w:tabs>
              <w:tab w:val="clear" w:pos="4153"/>
              <w:tab w:val="left" w:pos="851"/>
              <w:tab w:val="center" w:pos="3969"/>
              <w:tab w:val="left" w:pos="4820"/>
            </w:tabs>
            <w:jc w:val="right"/>
            <w:rPr>
              <w:rFonts w:ascii="Times New Roman" w:hAnsi="Times New Roman"/>
              <w:sz w:val="14"/>
              <w:szCs w:val="24"/>
            </w:rPr>
          </w:pPr>
        </w:p>
        <w:p w:rsidR="00FE74B2" w:rsidRDefault="00FE74B2" w:rsidP="00FE74B2">
          <w:pPr>
            <w:pStyle w:val="a7"/>
            <w:tabs>
              <w:tab w:val="clear" w:pos="4153"/>
              <w:tab w:val="left" w:pos="851"/>
              <w:tab w:val="center" w:pos="3969"/>
              <w:tab w:val="left" w:pos="4820"/>
            </w:tabs>
            <w:jc w:val="right"/>
            <w:rPr>
              <w:sz w:val="14"/>
            </w:rPr>
          </w:pPr>
        </w:p>
        <w:p w:rsidR="00FE74B2" w:rsidRDefault="00FE74B2" w:rsidP="00FE74B2">
          <w:pPr>
            <w:pStyle w:val="a7"/>
            <w:tabs>
              <w:tab w:val="clear" w:pos="4153"/>
              <w:tab w:val="left" w:pos="851"/>
              <w:tab w:val="center" w:pos="3969"/>
              <w:tab w:val="left" w:pos="4820"/>
            </w:tabs>
            <w:jc w:val="right"/>
            <w:rPr>
              <w:sz w:val="14"/>
            </w:rPr>
          </w:pPr>
        </w:p>
        <w:p w:rsidR="00FE74B2" w:rsidRDefault="00FE74B2" w:rsidP="00FE74B2">
          <w:pPr>
            <w:pStyle w:val="a7"/>
            <w:tabs>
              <w:tab w:val="clear" w:pos="4153"/>
              <w:tab w:val="left" w:pos="851"/>
              <w:tab w:val="center" w:pos="3969"/>
              <w:tab w:val="left" w:pos="4820"/>
            </w:tabs>
            <w:jc w:val="right"/>
            <w:rPr>
              <w:sz w:val="14"/>
            </w:rPr>
          </w:pPr>
        </w:p>
        <w:p w:rsidR="00FE74B2" w:rsidRDefault="00FE74B2" w:rsidP="00FE74B2">
          <w:pPr>
            <w:pStyle w:val="a7"/>
            <w:tabs>
              <w:tab w:val="clear" w:pos="4153"/>
              <w:tab w:val="left" w:pos="851"/>
              <w:tab w:val="center" w:pos="3969"/>
              <w:tab w:val="left" w:pos="4820"/>
            </w:tabs>
            <w:jc w:val="right"/>
            <w:rPr>
              <w:sz w:val="14"/>
            </w:rPr>
          </w:pPr>
        </w:p>
        <w:p w:rsidR="00FE74B2" w:rsidRDefault="00FE74B2" w:rsidP="00FE74B2">
          <w:pPr>
            <w:pStyle w:val="a7"/>
            <w:tabs>
              <w:tab w:val="clear" w:pos="4153"/>
              <w:tab w:val="left" w:pos="851"/>
              <w:tab w:val="center" w:pos="3969"/>
              <w:tab w:val="left" w:pos="4820"/>
            </w:tabs>
            <w:jc w:val="right"/>
            <w:rPr>
              <w:color w:val="000000"/>
              <w:spacing w:val="10"/>
              <w:sz w:val="14"/>
              <w:lang w:val="en-GB"/>
            </w:rPr>
          </w:pPr>
          <w:r>
            <w:rPr>
              <w:noProof/>
              <w:sz w:val="14"/>
              <w:lang w:eastAsia="el-GR"/>
            </w:rPr>
            <w:drawing>
              <wp:anchor distT="0" distB="0" distL="114300" distR="114300" simplePos="0" relativeHeight="251661312" behindDoc="0" locked="0" layoutInCell="1" allowOverlap="1" wp14:anchorId="4B4BE4BF" wp14:editId="39934F40">
                <wp:simplePos x="0" y="0"/>
                <wp:positionH relativeFrom="column">
                  <wp:posOffset>1373505</wp:posOffset>
                </wp:positionH>
                <wp:positionV relativeFrom="paragraph">
                  <wp:posOffset>-432435</wp:posOffset>
                </wp:positionV>
                <wp:extent cx="673100" cy="673100"/>
                <wp:effectExtent l="0" t="0" r="0" b="0"/>
                <wp:wrapNone/>
                <wp:docPr id="9" name="Picture 9" descr="Description: TUV_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TUV_iso90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E74B2" w:rsidTr="00FE74B2">
      <w:trPr>
        <w:cantSplit/>
      </w:trPr>
      <w:tc>
        <w:tcPr>
          <w:tcW w:w="5471" w:type="dxa"/>
          <w:hideMark/>
        </w:tcPr>
        <w:p w:rsidR="00FE74B2" w:rsidRDefault="00FE74B2" w:rsidP="00FE74B2">
          <w:pPr>
            <w:pStyle w:val="a7"/>
            <w:tabs>
              <w:tab w:val="clear" w:pos="4153"/>
              <w:tab w:val="left" w:pos="851"/>
              <w:tab w:val="center" w:pos="3969"/>
              <w:tab w:val="left" w:pos="4820"/>
            </w:tabs>
            <w:rPr>
              <w:rFonts w:ascii="Verdana" w:hAnsi="Verdana" w:cs="Calibri"/>
              <w:b/>
              <w:color w:val="808080"/>
              <w:sz w:val="16"/>
              <w:szCs w:val="16"/>
              <w:lang w:val="en-US"/>
            </w:rPr>
          </w:pPr>
          <w:r>
            <w:rPr>
              <w:rFonts w:ascii="Verdana" w:hAnsi="Verdana" w:cs="Calibri"/>
              <w:b/>
              <w:color w:val="808080"/>
              <w:sz w:val="16"/>
              <w:szCs w:val="16"/>
              <w:lang w:val="en-US"/>
            </w:rPr>
            <w:t>ICAP Group A.E.</w:t>
          </w:r>
        </w:p>
      </w:tc>
      <w:tc>
        <w:tcPr>
          <w:tcW w:w="4504" w:type="dxa"/>
          <w:vMerge/>
          <w:vAlign w:val="center"/>
          <w:hideMark/>
        </w:tcPr>
        <w:p w:rsidR="00FE74B2" w:rsidRDefault="00FE74B2" w:rsidP="00FE74B2">
          <w:pPr>
            <w:spacing w:line="240" w:lineRule="auto"/>
            <w:rPr>
              <w:rFonts w:ascii="Times New Roman" w:hAnsi="Times New Roman"/>
              <w:color w:val="000000"/>
              <w:spacing w:val="10"/>
              <w:sz w:val="14"/>
              <w:szCs w:val="24"/>
              <w:lang w:val="en-GB"/>
            </w:rPr>
          </w:pPr>
        </w:p>
      </w:tc>
    </w:tr>
    <w:tr w:rsidR="00FE74B2" w:rsidTr="00FE74B2">
      <w:trPr>
        <w:cantSplit/>
      </w:trPr>
      <w:tc>
        <w:tcPr>
          <w:tcW w:w="5471" w:type="dxa"/>
          <w:hideMark/>
        </w:tcPr>
        <w:p w:rsidR="00FE74B2" w:rsidRDefault="00FE74B2" w:rsidP="00FE74B2">
          <w:pPr>
            <w:pStyle w:val="a7"/>
            <w:tabs>
              <w:tab w:val="clear" w:pos="4153"/>
              <w:tab w:val="left" w:pos="851"/>
              <w:tab w:val="center" w:pos="3969"/>
              <w:tab w:val="left" w:pos="4820"/>
            </w:tabs>
            <w:rPr>
              <w:rFonts w:ascii="Verdana" w:hAnsi="Verdana" w:cs="Calibri"/>
              <w:color w:val="808080"/>
              <w:spacing w:val="10"/>
              <w:sz w:val="14"/>
            </w:rPr>
          </w:pPr>
          <w:r>
            <w:rPr>
              <w:rFonts w:ascii="Verdana" w:hAnsi="Verdana" w:cs="Calibri"/>
              <w:color w:val="808080"/>
              <w:spacing w:val="10"/>
              <w:sz w:val="14"/>
            </w:rPr>
            <w:t>ΕΠΙΧΕΙΡΗΜΑΤΙΚΗ ΠΛΗΡΟΦΟΡΗΣΗ, ΣΥΜΒΟΥΛΟΙ ΔΙΟΙΚΗΣΗΣ</w:t>
          </w:r>
        </w:p>
      </w:tc>
      <w:tc>
        <w:tcPr>
          <w:tcW w:w="4504" w:type="dxa"/>
          <w:vMerge/>
          <w:vAlign w:val="center"/>
          <w:hideMark/>
        </w:tcPr>
        <w:p w:rsidR="00FE74B2" w:rsidRDefault="00FE74B2" w:rsidP="00FE74B2">
          <w:pPr>
            <w:spacing w:line="240" w:lineRule="auto"/>
            <w:rPr>
              <w:rFonts w:ascii="Times New Roman" w:hAnsi="Times New Roman"/>
              <w:color w:val="000000"/>
              <w:spacing w:val="10"/>
              <w:sz w:val="14"/>
              <w:szCs w:val="24"/>
              <w:lang w:val="en-GB"/>
            </w:rPr>
          </w:pPr>
        </w:p>
      </w:tc>
    </w:tr>
    <w:tr w:rsidR="00FE74B2" w:rsidTr="00FE74B2">
      <w:trPr>
        <w:cantSplit/>
      </w:trPr>
      <w:tc>
        <w:tcPr>
          <w:tcW w:w="5471" w:type="dxa"/>
          <w:hideMark/>
        </w:tcPr>
        <w:p w:rsidR="00FE74B2" w:rsidRDefault="00FE74B2" w:rsidP="00FE74B2">
          <w:pPr>
            <w:pStyle w:val="a7"/>
            <w:tabs>
              <w:tab w:val="clear" w:pos="4153"/>
              <w:tab w:val="left" w:pos="851"/>
              <w:tab w:val="center" w:pos="3969"/>
              <w:tab w:val="left" w:pos="4820"/>
            </w:tabs>
            <w:rPr>
              <w:rFonts w:ascii="Verdana" w:hAnsi="Verdana" w:cs="Calibri"/>
              <w:color w:val="808080"/>
              <w:spacing w:val="10"/>
              <w:sz w:val="14"/>
            </w:rPr>
          </w:pPr>
          <w:r>
            <w:rPr>
              <w:rFonts w:ascii="Verdana" w:hAnsi="Verdana" w:cs="Calibri"/>
              <w:color w:val="808080"/>
              <w:spacing w:val="10"/>
              <w:sz w:val="14"/>
            </w:rPr>
            <w:t>ΚΑΙ ΥΠΗΡΕΣΙΕΣ ΠΡΟΣ ΕΠΙΧΕΙΡΗΣΕΙΣ</w:t>
          </w:r>
        </w:p>
      </w:tc>
      <w:tc>
        <w:tcPr>
          <w:tcW w:w="4504" w:type="dxa"/>
          <w:vMerge/>
          <w:vAlign w:val="center"/>
          <w:hideMark/>
        </w:tcPr>
        <w:p w:rsidR="00FE74B2" w:rsidRDefault="00FE74B2" w:rsidP="00FE74B2">
          <w:pPr>
            <w:spacing w:line="240" w:lineRule="auto"/>
            <w:rPr>
              <w:rFonts w:ascii="Times New Roman" w:hAnsi="Times New Roman"/>
              <w:color w:val="000000"/>
              <w:spacing w:val="10"/>
              <w:sz w:val="14"/>
              <w:szCs w:val="24"/>
              <w:lang w:val="en-GB"/>
            </w:rPr>
          </w:pPr>
        </w:p>
      </w:tc>
    </w:tr>
    <w:tr w:rsidR="00FE74B2" w:rsidTr="00FE74B2">
      <w:trPr>
        <w:cantSplit/>
      </w:trPr>
      <w:tc>
        <w:tcPr>
          <w:tcW w:w="5471" w:type="dxa"/>
          <w:hideMark/>
        </w:tcPr>
        <w:p w:rsidR="00FE74B2" w:rsidRDefault="00FE74B2" w:rsidP="00FE74B2">
          <w:pPr>
            <w:pStyle w:val="a7"/>
            <w:tabs>
              <w:tab w:val="clear" w:pos="4153"/>
              <w:tab w:val="left" w:pos="851"/>
              <w:tab w:val="center" w:pos="3969"/>
              <w:tab w:val="left" w:pos="4820"/>
            </w:tabs>
            <w:rPr>
              <w:rFonts w:ascii="Verdana" w:hAnsi="Verdana" w:cs="Calibri"/>
              <w:color w:val="000000"/>
              <w:spacing w:val="10"/>
              <w:sz w:val="14"/>
            </w:rPr>
          </w:pPr>
          <w:r>
            <w:rPr>
              <w:rFonts w:ascii="Verdana" w:hAnsi="Verdana" w:cs="Calibri"/>
              <w:color w:val="000000"/>
              <w:spacing w:val="10"/>
              <w:sz w:val="14"/>
            </w:rPr>
            <w:t>Γραφείο Τύπου</w:t>
          </w:r>
        </w:p>
      </w:tc>
      <w:tc>
        <w:tcPr>
          <w:tcW w:w="4504" w:type="dxa"/>
          <w:vMerge/>
          <w:vAlign w:val="center"/>
          <w:hideMark/>
        </w:tcPr>
        <w:p w:rsidR="00FE74B2" w:rsidRDefault="00FE74B2" w:rsidP="00FE74B2">
          <w:pPr>
            <w:spacing w:line="240" w:lineRule="auto"/>
            <w:rPr>
              <w:rFonts w:ascii="Times New Roman" w:hAnsi="Times New Roman"/>
              <w:color w:val="000000"/>
              <w:spacing w:val="10"/>
              <w:sz w:val="14"/>
              <w:szCs w:val="24"/>
              <w:lang w:val="en-GB"/>
            </w:rPr>
          </w:pPr>
        </w:p>
      </w:tc>
    </w:tr>
    <w:tr w:rsidR="00FE74B2" w:rsidTr="00FE74B2">
      <w:trPr>
        <w:cantSplit/>
        <w:trHeight w:val="80"/>
      </w:trPr>
      <w:tc>
        <w:tcPr>
          <w:tcW w:w="5471" w:type="dxa"/>
          <w:hideMark/>
        </w:tcPr>
        <w:p w:rsidR="00FE74B2" w:rsidRDefault="00FE74B2" w:rsidP="00FE74B2">
          <w:pPr>
            <w:pStyle w:val="a7"/>
            <w:tabs>
              <w:tab w:val="clear" w:pos="4153"/>
              <w:tab w:val="left" w:pos="851"/>
              <w:tab w:val="center" w:pos="3969"/>
              <w:tab w:val="left" w:pos="4820"/>
            </w:tabs>
            <w:rPr>
              <w:rFonts w:ascii="Verdana" w:hAnsi="Verdana" w:cs="Calibri"/>
              <w:color w:val="808080"/>
              <w:spacing w:val="10"/>
              <w:sz w:val="14"/>
            </w:rPr>
          </w:pPr>
          <w:r>
            <w:rPr>
              <w:rFonts w:ascii="Verdana" w:hAnsi="Verdana" w:cs="Calibri"/>
              <w:color w:val="808080"/>
              <w:spacing w:val="10"/>
              <w:sz w:val="14"/>
            </w:rPr>
            <w:t>Ελευθερίου Βενιζέλου 2, 176 76 Καλλιθέα</w:t>
          </w:r>
        </w:p>
      </w:tc>
      <w:tc>
        <w:tcPr>
          <w:tcW w:w="4504" w:type="dxa"/>
          <w:vMerge/>
          <w:vAlign w:val="center"/>
          <w:hideMark/>
        </w:tcPr>
        <w:p w:rsidR="00FE74B2" w:rsidRDefault="00FE74B2" w:rsidP="00FE74B2">
          <w:pPr>
            <w:spacing w:line="240" w:lineRule="auto"/>
            <w:rPr>
              <w:rFonts w:ascii="Times New Roman" w:hAnsi="Times New Roman"/>
              <w:color w:val="000000"/>
              <w:spacing w:val="10"/>
              <w:sz w:val="14"/>
              <w:szCs w:val="24"/>
              <w:lang w:val="en-GB"/>
            </w:rPr>
          </w:pPr>
        </w:p>
      </w:tc>
    </w:tr>
    <w:tr w:rsidR="00FE74B2" w:rsidTr="00FE74B2">
      <w:trPr>
        <w:cantSplit/>
      </w:trPr>
      <w:tc>
        <w:tcPr>
          <w:tcW w:w="5471" w:type="dxa"/>
          <w:hideMark/>
        </w:tcPr>
        <w:p w:rsidR="00FE74B2" w:rsidRDefault="00FE74B2" w:rsidP="00FE74B2">
          <w:pPr>
            <w:pStyle w:val="a7"/>
            <w:tabs>
              <w:tab w:val="clear" w:pos="4153"/>
              <w:tab w:val="left" w:pos="851"/>
              <w:tab w:val="center" w:pos="3969"/>
              <w:tab w:val="left" w:pos="4820"/>
            </w:tabs>
            <w:rPr>
              <w:rFonts w:ascii="Verdana" w:hAnsi="Verdana" w:cs="Calibri"/>
              <w:color w:val="808080"/>
              <w:spacing w:val="10"/>
              <w:sz w:val="14"/>
              <w:lang w:val="en-US"/>
            </w:rPr>
          </w:pPr>
          <w:r>
            <w:rPr>
              <w:rFonts w:ascii="Verdana" w:hAnsi="Verdana" w:cs="Calibri"/>
              <w:color w:val="808080"/>
              <w:spacing w:val="10"/>
              <w:sz w:val="14"/>
            </w:rPr>
            <w:t xml:space="preserve">τηλ:210 7200 000, </w:t>
          </w:r>
          <w:r>
            <w:rPr>
              <w:rFonts w:ascii="Verdana" w:hAnsi="Verdana" w:cs="Calibri"/>
              <w:color w:val="808080"/>
              <w:spacing w:val="10"/>
              <w:sz w:val="14"/>
              <w:lang w:val="en-US"/>
            </w:rPr>
            <w:t>fax:210 7220 815</w:t>
          </w:r>
        </w:p>
      </w:tc>
      <w:tc>
        <w:tcPr>
          <w:tcW w:w="4504" w:type="dxa"/>
          <w:vMerge/>
          <w:vAlign w:val="center"/>
          <w:hideMark/>
        </w:tcPr>
        <w:p w:rsidR="00FE74B2" w:rsidRDefault="00FE74B2" w:rsidP="00FE74B2">
          <w:pPr>
            <w:spacing w:line="240" w:lineRule="auto"/>
            <w:rPr>
              <w:rFonts w:ascii="Times New Roman" w:hAnsi="Times New Roman"/>
              <w:color w:val="000000"/>
              <w:spacing w:val="10"/>
              <w:sz w:val="14"/>
              <w:szCs w:val="24"/>
              <w:lang w:val="en-GB"/>
            </w:rPr>
          </w:pPr>
        </w:p>
      </w:tc>
    </w:tr>
    <w:tr w:rsidR="00FE74B2" w:rsidRPr="008C3712" w:rsidTr="00FE74B2">
      <w:trPr>
        <w:cantSplit/>
      </w:trPr>
      <w:tc>
        <w:tcPr>
          <w:tcW w:w="5471" w:type="dxa"/>
          <w:hideMark/>
        </w:tcPr>
        <w:p w:rsidR="00FE74B2" w:rsidRDefault="00FE74B2" w:rsidP="00FE74B2">
          <w:pPr>
            <w:pStyle w:val="a7"/>
            <w:tabs>
              <w:tab w:val="clear" w:pos="4153"/>
              <w:tab w:val="left" w:pos="851"/>
              <w:tab w:val="center" w:pos="3969"/>
              <w:tab w:val="left" w:pos="4820"/>
            </w:tabs>
            <w:rPr>
              <w:rFonts w:ascii="Verdana" w:hAnsi="Verdana" w:cs="Calibri"/>
              <w:color w:val="808080"/>
              <w:spacing w:val="10"/>
              <w:sz w:val="14"/>
              <w:lang w:val="it-IT"/>
            </w:rPr>
          </w:pPr>
          <w:r>
            <w:rPr>
              <w:rFonts w:ascii="Verdana" w:hAnsi="Verdana" w:cs="Calibri"/>
              <w:color w:val="808080"/>
              <w:spacing w:val="10"/>
              <w:sz w:val="14"/>
              <w:lang w:val="it-IT"/>
            </w:rPr>
            <w:t>e-mail: icap@icap.gr</w:t>
          </w:r>
        </w:p>
      </w:tc>
      <w:tc>
        <w:tcPr>
          <w:tcW w:w="4504" w:type="dxa"/>
          <w:vMerge/>
          <w:vAlign w:val="center"/>
          <w:hideMark/>
        </w:tcPr>
        <w:p w:rsidR="00FE74B2" w:rsidRDefault="00FE74B2" w:rsidP="00FE74B2">
          <w:pPr>
            <w:spacing w:line="240" w:lineRule="auto"/>
            <w:rPr>
              <w:rFonts w:ascii="Times New Roman" w:hAnsi="Times New Roman"/>
              <w:color w:val="000000"/>
              <w:spacing w:val="10"/>
              <w:sz w:val="14"/>
              <w:szCs w:val="24"/>
              <w:lang w:val="en-GB"/>
            </w:rPr>
          </w:pPr>
        </w:p>
      </w:tc>
    </w:tr>
  </w:tbl>
  <w:p w:rsidR="00FE74B2" w:rsidRPr="00FE74B2" w:rsidRDefault="00FE74B2">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554" w:rsidRDefault="00E27554" w:rsidP="00C77C55">
      <w:pPr>
        <w:spacing w:after="0" w:line="240" w:lineRule="auto"/>
      </w:pPr>
      <w:r>
        <w:separator/>
      </w:r>
    </w:p>
  </w:footnote>
  <w:footnote w:type="continuationSeparator" w:id="0">
    <w:p w:rsidR="00E27554" w:rsidRDefault="00E27554" w:rsidP="00C7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B2" w:rsidRDefault="00FE74B2">
    <w:pPr>
      <w:pStyle w:val="a6"/>
    </w:pPr>
    <w:r>
      <w:rPr>
        <w:rFonts w:ascii="Times New Roman" w:hAnsi="Times New Roman" w:cs="Times New Roman"/>
        <w:noProof/>
        <w:sz w:val="24"/>
        <w:szCs w:val="24"/>
        <w:lang w:eastAsia="el-GR"/>
      </w:rPr>
      <w:drawing>
        <wp:anchor distT="0" distB="0" distL="114300" distR="114300" simplePos="0" relativeHeight="251663360" behindDoc="0" locked="0" layoutInCell="1" allowOverlap="1" wp14:anchorId="26D6AE76" wp14:editId="14EFB6FE">
          <wp:simplePos x="0" y="0"/>
          <wp:positionH relativeFrom="character">
            <wp:posOffset>-48895</wp:posOffset>
          </wp:positionH>
          <wp:positionV relativeFrom="line">
            <wp:posOffset>-130810</wp:posOffset>
          </wp:positionV>
          <wp:extent cx="1001395" cy="1152525"/>
          <wp:effectExtent l="0" t="0" r="8255" b="9525"/>
          <wp:wrapNone/>
          <wp:docPr id="10" name="Picture 10" descr="Description: IC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CAP2"/>
                  <pic:cNvPicPr>
                    <a:picLocks noChangeAspect="1" noChangeArrowheads="1"/>
                  </pic:cNvPicPr>
                </pic:nvPicPr>
                <pic:blipFill>
                  <a:blip r:embed="rId1">
                    <a:extLst>
                      <a:ext uri="{28A0092B-C50C-407E-A947-70E740481C1C}">
                        <a14:useLocalDpi xmlns:a14="http://schemas.microsoft.com/office/drawing/2010/main" val="0"/>
                      </a:ext>
                    </a:extLst>
                  </a:blip>
                  <a:srcRect l="40063" t="9492" r="40477" b="52908"/>
                  <a:stretch>
                    <a:fillRect/>
                  </a:stretch>
                </pic:blipFill>
                <pic:spPr bwMode="auto">
                  <a:xfrm>
                    <a:off x="0" y="0"/>
                    <a:ext cx="1001395" cy="1152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3D4079"/>
    <w:multiLevelType w:val="singleLevel"/>
    <w:tmpl w:val="1F08C01E"/>
    <w:styleLink w:val="ArticleSection1"/>
    <w:lvl w:ilvl="0">
      <w:start w:val="1"/>
      <w:numFmt w:val="bullet"/>
      <w:lvlText w:val=""/>
      <w:lvlJc w:val="left"/>
      <w:pPr>
        <w:tabs>
          <w:tab w:val="num" w:pos="473"/>
        </w:tabs>
        <w:ind w:left="170" w:hanging="57"/>
      </w:pPr>
      <w:rPr>
        <w:rFonts w:ascii="Symbol" w:hAnsi="Symbol" w:hint="default"/>
      </w:rPr>
    </w:lvl>
  </w:abstractNum>
  <w:abstractNum w:abstractNumId="1">
    <w:nsid w:val="78EA6F12"/>
    <w:multiLevelType w:val="hybridMultilevel"/>
    <w:tmpl w:val="0F86CF6A"/>
    <w:styleLink w:val="1ai1"/>
    <w:lvl w:ilvl="0" w:tplc="D35E522E">
      <w:start w:val="1"/>
      <w:numFmt w:val="bullet"/>
      <w:pStyle w:val="2010BULLET"/>
      <w:lvlText w:val=""/>
      <w:lvlJc w:val="left"/>
      <w:pPr>
        <w:ind w:left="720" w:hanging="360"/>
      </w:pPr>
      <w:rPr>
        <w:rFonts w:ascii="Wingdings 2" w:hAnsi="Wingdings 2"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60"/>
    <w:rsid w:val="00037E13"/>
    <w:rsid w:val="00083FFF"/>
    <w:rsid w:val="000B4CD0"/>
    <w:rsid w:val="00101B43"/>
    <w:rsid w:val="00132F47"/>
    <w:rsid w:val="001456C3"/>
    <w:rsid w:val="00161AD6"/>
    <w:rsid w:val="00163A0F"/>
    <w:rsid w:val="00170B95"/>
    <w:rsid w:val="001A7DE1"/>
    <w:rsid w:val="001C0C75"/>
    <w:rsid w:val="0020755F"/>
    <w:rsid w:val="00207746"/>
    <w:rsid w:val="00232DA4"/>
    <w:rsid w:val="002B292E"/>
    <w:rsid w:val="002D39A0"/>
    <w:rsid w:val="002D7671"/>
    <w:rsid w:val="00391319"/>
    <w:rsid w:val="003A7424"/>
    <w:rsid w:val="003D2B44"/>
    <w:rsid w:val="003E1A59"/>
    <w:rsid w:val="003E5ACE"/>
    <w:rsid w:val="00486E81"/>
    <w:rsid w:val="004C2919"/>
    <w:rsid w:val="004E7DEE"/>
    <w:rsid w:val="00500417"/>
    <w:rsid w:val="00595922"/>
    <w:rsid w:val="00597AB7"/>
    <w:rsid w:val="005C7335"/>
    <w:rsid w:val="00600E6D"/>
    <w:rsid w:val="006531FA"/>
    <w:rsid w:val="00697CCB"/>
    <w:rsid w:val="006B7BCA"/>
    <w:rsid w:val="006C77A2"/>
    <w:rsid w:val="00702A97"/>
    <w:rsid w:val="00721563"/>
    <w:rsid w:val="00724C49"/>
    <w:rsid w:val="00726226"/>
    <w:rsid w:val="0075552F"/>
    <w:rsid w:val="00760B28"/>
    <w:rsid w:val="00774519"/>
    <w:rsid w:val="00781F5A"/>
    <w:rsid w:val="00797C2C"/>
    <w:rsid w:val="007D5790"/>
    <w:rsid w:val="007F4504"/>
    <w:rsid w:val="00844BB6"/>
    <w:rsid w:val="00845576"/>
    <w:rsid w:val="008C3712"/>
    <w:rsid w:val="00912697"/>
    <w:rsid w:val="00977572"/>
    <w:rsid w:val="0099637E"/>
    <w:rsid w:val="009A2BE2"/>
    <w:rsid w:val="009E253F"/>
    <w:rsid w:val="00A07AEE"/>
    <w:rsid w:val="00A22D06"/>
    <w:rsid w:val="00A4426D"/>
    <w:rsid w:val="00A76A55"/>
    <w:rsid w:val="00A8583E"/>
    <w:rsid w:val="00AA0FE7"/>
    <w:rsid w:val="00AB66E0"/>
    <w:rsid w:val="00AC145E"/>
    <w:rsid w:val="00AC6DDF"/>
    <w:rsid w:val="00AD50A7"/>
    <w:rsid w:val="00B7393B"/>
    <w:rsid w:val="00BF42F1"/>
    <w:rsid w:val="00C42FDA"/>
    <w:rsid w:val="00C47D0A"/>
    <w:rsid w:val="00C502F5"/>
    <w:rsid w:val="00C63454"/>
    <w:rsid w:val="00C77C55"/>
    <w:rsid w:val="00CA73FA"/>
    <w:rsid w:val="00CA79AC"/>
    <w:rsid w:val="00CE08D1"/>
    <w:rsid w:val="00CE5FA8"/>
    <w:rsid w:val="00D20E12"/>
    <w:rsid w:val="00D40987"/>
    <w:rsid w:val="00D51088"/>
    <w:rsid w:val="00D55A66"/>
    <w:rsid w:val="00D57F14"/>
    <w:rsid w:val="00E27554"/>
    <w:rsid w:val="00E31DEE"/>
    <w:rsid w:val="00E40C65"/>
    <w:rsid w:val="00E46822"/>
    <w:rsid w:val="00E64D2E"/>
    <w:rsid w:val="00ED3C72"/>
    <w:rsid w:val="00EE341B"/>
    <w:rsid w:val="00F01C1B"/>
    <w:rsid w:val="00F049AE"/>
    <w:rsid w:val="00F350E9"/>
    <w:rsid w:val="00F45860"/>
    <w:rsid w:val="00F71C89"/>
    <w:rsid w:val="00F72AAE"/>
    <w:rsid w:val="00F7588F"/>
    <w:rsid w:val="00F95B70"/>
    <w:rsid w:val="00F96231"/>
    <w:rsid w:val="00FB5225"/>
    <w:rsid w:val="00FE3F18"/>
    <w:rsid w:val="00FE74B2"/>
    <w:rsid w:val="00FF5A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27CC77-1163-45D2-8562-8E5288A5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AC6DDF"/>
    <w:pPr>
      <w:keepNext/>
      <w:keepLines/>
      <w:spacing w:before="480" w:after="0"/>
      <w:ind w:left="720" w:hanging="36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AC6DDF"/>
    <w:pPr>
      <w:keepNext/>
      <w:keepLines/>
      <w:spacing w:before="200" w:after="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C6DDF"/>
    <w:pPr>
      <w:keepNext/>
      <w:keepLines/>
      <w:spacing w:before="200" w:after="0"/>
      <w:ind w:left="2160" w:hanging="36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C6DDF"/>
    <w:pPr>
      <w:keepNext/>
      <w:keepLines/>
      <w:spacing w:before="200" w:after="0"/>
      <w:ind w:left="2880" w:hanging="36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C6DDF"/>
    <w:pPr>
      <w:keepNext/>
      <w:keepLines/>
      <w:spacing w:before="200" w:after="0"/>
      <w:ind w:left="3600" w:hanging="36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C6DDF"/>
    <w:pPr>
      <w:keepNext/>
      <w:keepLines/>
      <w:spacing w:before="200" w:after="0"/>
      <w:ind w:left="4320" w:hanging="36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C6DDF"/>
    <w:pPr>
      <w:keepNext/>
      <w:keepLines/>
      <w:spacing w:before="200" w:after="0"/>
      <w:ind w:left="5040" w:hanging="36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C6DDF"/>
    <w:pPr>
      <w:keepNext/>
      <w:keepLines/>
      <w:spacing w:before="200" w:after="0"/>
      <w:ind w:left="5760" w:hanging="36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AC6DDF"/>
    <w:pPr>
      <w:keepNext/>
      <w:keepLines/>
      <w:spacing w:before="200" w:after="0"/>
      <w:ind w:left="6480" w:hanging="36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2B4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D2B44"/>
    <w:rPr>
      <w:rFonts w:ascii="Tahoma" w:hAnsi="Tahoma" w:cs="Tahoma"/>
      <w:sz w:val="16"/>
      <w:szCs w:val="16"/>
    </w:rPr>
  </w:style>
  <w:style w:type="paragraph" w:customStyle="1" w:styleId="a4">
    <w:name w:val="ΚΕΙΜΕΝΟ"/>
    <w:basedOn w:val="a"/>
    <w:link w:val="Char0"/>
    <w:qFormat/>
    <w:rsid w:val="00AC6DDF"/>
    <w:pPr>
      <w:spacing w:after="240" w:line="336" w:lineRule="auto"/>
      <w:jc w:val="both"/>
    </w:pPr>
    <w:rPr>
      <w:rFonts w:ascii="PF Textbook Light" w:eastAsia="Times New Roman" w:hAnsi="PF Textbook Light" w:cs="Times New Roman"/>
      <w:w w:val="95"/>
    </w:rPr>
  </w:style>
  <w:style w:type="character" w:customStyle="1" w:styleId="Char0">
    <w:name w:val="ΚΕΙΜΕΝΟ Char"/>
    <w:basedOn w:val="a0"/>
    <w:link w:val="a4"/>
    <w:rsid w:val="00AC6DDF"/>
    <w:rPr>
      <w:rFonts w:ascii="PF Textbook Light" w:eastAsia="Times New Roman" w:hAnsi="PF Textbook Light" w:cs="Times New Roman"/>
      <w:w w:val="95"/>
    </w:rPr>
  </w:style>
  <w:style w:type="paragraph" w:customStyle="1" w:styleId="2010BULLET">
    <w:name w:val="2010 BULLET ΚΕΙΜΕΝΟΥ"/>
    <w:basedOn w:val="a"/>
    <w:link w:val="2010BULLETCharChar"/>
    <w:rsid w:val="00AC6DDF"/>
    <w:pPr>
      <w:numPr>
        <w:numId w:val="1"/>
      </w:numPr>
      <w:spacing w:after="120" w:line="336" w:lineRule="auto"/>
      <w:jc w:val="both"/>
    </w:pPr>
    <w:rPr>
      <w:rFonts w:ascii="PF Textbook Light" w:eastAsia="Times New Roman" w:hAnsi="PF Textbook Light" w:cs="Times New Roman"/>
      <w:w w:val="95"/>
    </w:rPr>
  </w:style>
  <w:style w:type="character" w:customStyle="1" w:styleId="2010BULLETCharChar">
    <w:name w:val="2010 BULLET ΚΕΙΜΕΝΟΥ Char Char"/>
    <w:basedOn w:val="a0"/>
    <w:link w:val="2010BULLET"/>
    <w:locked/>
    <w:rsid w:val="00AC6DDF"/>
    <w:rPr>
      <w:rFonts w:ascii="PF Textbook Light" w:eastAsia="Times New Roman" w:hAnsi="PF Textbook Light" w:cs="Times New Roman"/>
      <w:w w:val="95"/>
    </w:rPr>
  </w:style>
  <w:style w:type="numbering" w:customStyle="1" w:styleId="ArticleSection1">
    <w:name w:val="Article / Section1"/>
    <w:basedOn w:val="a2"/>
    <w:next w:val="a5"/>
    <w:semiHidden/>
    <w:rsid w:val="00AC6DDF"/>
    <w:pPr>
      <w:numPr>
        <w:numId w:val="2"/>
      </w:numPr>
    </w:pPr>
  </w:style>
  <w:style w:type="numbering" w:customStyle="1" w:styleId="1ai1">
    <w:name w:val="1 / a / i1"/>
    <w:basedOn w:val="a2"/>
    <w:next w:val="1i"/>
    <w:semiHidden/>
    <w:rsid w:val="00AC6DDF"/>
    <w:pPr>
      <w:numPr>
        <w:numId w:val="1"/>
      </w:numPr>
    </w:pPr>
  </w:style>
  <w:style w:type="character" w:customStyle="1" w:styleId="1Char">
    <w:name w:val="Επικεφαλίδα 1 Char"/>
    <w:basedOn w:val="a0"/>
    <w:link w:val="1"/>
    <w:uiPriority w:val="9"/>
    <w:rsid w:val="00AC6DD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semiHidden/>
    <w:rsid w:val="00AC6DD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AC6DDF"/>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AC6DDF"/>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AC6DDF"/>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AC6DDF"/>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AC6DDF"/>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AC6DDF"/>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AC6DDF"/>
    <w:rPr>
      <w:rFonts w:asciiTheme="majorHAnsi" w:eastAsiaTheme="majorEastAsia" w:hAnsiTheme="majorHAnsi" w:cstheme="majorBidi"/>
      <w:i/>
      <w:iCs/>
      <w:color w:val="404040" w:themeColor="text1" w:themeTint="BF"/>
      <w:sz w:val="20"/>
      <w:szCs w:val="20"/>
    </w:rPr>
  </w:style>
  <w:style w:type="numbering" w:styleId="a5">
    <w:name w:val="Outline List 3"/>
    <w:basedOn w:val="a2"/>
    <w:uiPriority w:val="99"/>
    <w:semiHidden/>
    <w:unhideWhenUsed/>
    <w:rsid w:val="00AC6DDF"/>
  </w:style>
  <w:style w:type="numbering" w:styleId="1i">
    <w:name w:val="Outline List 1"/>
    <w:basedOn w:val="a2"/>
    <w:uiPriority w:val="99"/>
    <w:semiHidden/>
    <w:unhideWhenUsed/>
    <w:rsid w:val="00AC6DDF"/>
  </w:style>
  <w:style w:type="table" w:customStyle="1" w:styleId="2010">
    <w:name w:val="ΚΛΑΔΙΚΕΣ 2010"/>
    <w:rsid w:val="00D20E12"/>
    <w:pPr>
      <w:spacing w:after="0" w:line="360" w:lineRule="auto"/>
    </w:pPr>
    <w:rPr>
      <w:rFonts w:ascii="Tahoma" w:eastAsia="Calibri" w:hAnsi="Tahoma" w:cs="Tahoma"/>
      <w:sz w:val="18"/>
      <w:szCs w:val="20"/>
      <w:lang w:val="en-US" w:eastAsia="el-GR"/>
    </w:rPr>
    <w:tblPr>
      <w:tblStyleRowBandSize w:val="1"/>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pPr>
        <w:jc w:val="center"/>
      </w:pPr>
      <w:rPr>
        <w:rFonts w:ascii="BatangChe" w:hAnsi="BatangChe" w:cs="Times New Roman"/>
        <w:b/>
        <w:color w:val="FFFFFF"/>
        <w:sz w:val="18"/>
      </w:rPr>
      <w:tblPr/>
      <w:tcPr>
        <w:shd w:val="clear" w:color="auto" w:fill="0066CC"/>
        <w:vAlign w:val="center"/>
      </w:tcPr>
    </w:tblStylePr>
    <w:tblStylePr w:type="lastRow">
      <w:pPr>
        <w:jc w:val="left"/>
      </w:pPr>
      <w:rPr>
        <w:rFonts w:ascii="BatangChe" w:hAnsi="BatangChe"/>
        <w:i/>
        <w:sz w:val="18"/>
      </w:rPr>
      <w:tblPr/>
      <w:tcPr>
        <w:shd w:val="clear" w:color="auto" w:fill="F2F2F2"/>
        <w:vAlign w:val="center"/>
      </w:tcPr>
    </w:tblStylePr>
    <w:tblStylePr w:type="band1Horz">
      <w:pPr>
        <w:jc w:val="center"/>
      </w:pPr>
      <w:rPr>
        <w:rFonts w:ascii="BatangChe" w:hAnsi="BatangChe" w:cs="Times New Roman"/>
        <w:color w:val="auto"/>
        <w:sz w:val="18"/>
      </w:rPr>
      <w:tblPr/>
      <w:tcPr>
        <w:shd w:val="clear" w:color="auto" w:fill="FFFFFF"/>
        <w:vAlign w:val="center"/>
      </w:tcPr>
    </w:tblStylePr>
    <w:tblStylePr w:type="band2Horz">
      <w:pPr>
        <w:jc w:val="center"/>
      </w:pPr>
      <w:rPr>
        <w:rFonts w:ascii="BatangChe" w:hAnsi="BatangChe" w:cs="Times New Roman"/>
        <w:sz w:val="18"/>
      </w:rPr>
      <w:tblPr/>
      <w:tcPr>
        <w:shd w:val="clear" w:color="auto" w:fill="CCECFF"/>
        <w:vAlign w:val="center"/>
      </w:tcPr>
    </w:tblStylePr>
    <w:tblStylePr w:type="swCell">
      <w:pPr>
        <w:jc w:val="left"/>
      </w:pPr>
      <w:rPr>
        <w:rFonts w:cs="Times New Roman"/>
      </w:rPr>
    </w:tblStylePr>
  </w:style>
  <w:style w:type="paragraph" w:customStyle="1" w:styleId="PINAKAS">
    <w:name w:val="PINAKAS"/>
    <w:basedOn w:val="a"/>
    <w:link w:val="PINAKASChar"/>
    <w:rsid w:val="00D20E12"/>
    <w:pPr>
      <w:spacing w:after="240" w:line="336" w:lineRule="auto"/>
      <w:jc w:val="both"/>
    </w:pPr>
    <w:rPr>
      <w:rFonts w:ascii="PF Textbook Light" w:eastAsia="Times New Roman" w:hAnsi="PF Textbook Light" w:cs="Times New Roman"/>
      <w:w w:val="95"/>
      <w:sz w:val="18"/>
    </w:rPr>
  </w:style>
  <w:style w:type="character" w:customStyle="1" w:styleId="PINAKASChar">
    <w:name w:val="PINAKAS Char"/>
    <w:basedOn w:val="a0"/>
    <w:link w:val="PINAKAS"/>
    <w:locked/>
    <w:rsid w:val="00D20E12"/>
    <w:rPr>
      <w:rFonts w:ascii="PF Textbook Light" w:eastAsia="Times New Roman" w:hAnsi="PF Textbook Light" w:cs="Times New Roman"/>
      <w:w w:val="95"/>
      <w:sz w:val="18"/>
    </w:rPr>
  </w:style>
  <w:style w:type="paragraph" w:customStyle="1" w:styleId="2014">
    <w:name w:val="2014 ΠΙΝΑΚΕΣ"/>
    <w:basedOn w:val="PINAKAS"/>
    <w:link w:val="2014Char"/>
    <w:autoRedefine/>
    <w:rsid w:val="00D20E12"/>
    <w:pPr>
      <w:spacing w:after="0" w:line="240" w:lineRule="auto"/>
      <w:jc w:val="center"/>
    </w:pPr>
    <w:rPr>
      <w:rFonts w:ascii="Tahoma" w:eastAsia="Calibri" w:hAnsi="Tahoma" w:cs="Tahoma"/>
      <w:b/>
      <w:bCs/>
      <w:color w:val="FFFFFF"/>
      <w:w w:val="100"/>
      <w:sz w:val="20"/>
      <w:szCs w:val="20"/>
      <w:lang w:eastAsia="el-GR"/>
    </w:rPr>
  </w:style>
  <w:style w:type="character" w:customStyle="1" w:styleId="2014Char">
    <w:name w:val="2014 ΠΙΝΑΚΕΣ Char"/>
    <w:basedOn w:val="a0"/>
    <w:link w:val="2014"/>
    <w:rsid w:val="00D20E12"/>
    <w:rPr>
      <w:rFonts w:ascii="Tahoma" w:eastAsia="Calibri" w:hAnsi="Tahoma" w:cs="Tahoma"/>
      <w:b/>
      <w:bCs/>
      <w:color w:val="FFFFFF"/>
      <w:sz w:val="20"/>
      <w:szCs w:val="20"/>
      <w:lang w:eastAsia="el-GR"/>
    </w:rPr>
  </w:style>
  <w:style w:type="table" w:customStyle="1" w:styleId="20101112">
    <w:name w:val="2010 ΠΙΝΑΚΕΣ ΠΑΡΤ1112"/>
    <w:basedOn w:val="a1"/>
    <w:rsid w:val="00D20E12"/>
    <w:pPr>
      <w:spacing w:after="0" w:line="240" w:lineRule="auto"/>
    </w:pPr>
    <w:rPr>
      <w:rFonts w:ascii="PF Textbook" w:eastAsia="Times New Roman" w:hAnsi="PF Textbook" w:cs="Times New Roman"/>
      <w:sz w:val="18"/>
      <w:szCs w:val="20"/>
      <w:lang w:eastAsia="el-GR"/>
    </w:rPr>
    <w:tblPr>
      <w:tblStyleRow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cPr>
      <w:shd w:val="clear" w:color="auto" w:fill="FFFFFF"/>
    </w:tcPr>
    <w:tblStylePr w:type="firstRow">
      <w:pPr>
        <w:jc w:val="right"/>
      </w:pPr>
      <w:rPr>
        <w:rFonts w:ascii="@Batang" w:hAnsi="@Batang"/>
        <w:b/>
        <w:color w:val="0070C0"/>
        <w:sz w:val="22"/>
      </w:rPr>
      <w:tblPr/>
      <w:tcPr>
        <w:vAlign w:val="center"/>
      </w:tcPr>
    </w:tblStylePr>
    <w:tblStylePr w:type="lastRow">
      <w:pPr>
        <w:jc w:val="right"/>
      </w:pPr>
      <w:rPr>
        <w:rFonts w:ascii="Cambria" w:hAnsi="Cambria"/>
        <w:i/>
        <w:color w:val="auto"/>
        <w:sz w:val="18"/>
      </w:rPr>
      <w:tblPr/>
      <w:tcPr>
        <w:shd w:val="clear" w:color="auto" w:fill="F2F2F2"/>
      </w:tcPr>
    </w:tblStylePr>
    <w:tblStylePr w:type="firstCol">
      <w:pPr>
        <w:jc w:val="left"/>
      </w:pPr>
      <w:tblPr/>
      <w:tcPr>
        <w:vAlign w:val="center"/>
      </w:tcPr>
    </w:tblStylePr>
    <w:tblStylePr w:type="band1Horz">
      <w:pPr>
        <w:jc w:val="right"/>
      </w:pPr>
      <w:rPr>
        <w:rFonts w:ascii="Cambria" w:hAnsi="Cambria"/>
        <w:color w:val="auto"/>
        <w:sz w:val="18"/>
      </w:rPr>
      <w:tblPr/>
      <w:tcPr>
        <w:shd w:val="clear" w:color="auto" w:fill="CCECFF"/>
        <w:vAlign w:val="center"/>
      </w:tcPr>
    </w:tblStylePr>
    <w:tblStylePr w:type="band2Horz">
      <w:pPr>
        <w:jc w:val="right"/>
      </w:pPr>
      <w:rPr>
        <w:rFonts w:ascii="Cambria" w:hAnsi="Cambria"/>
        <w:sz w:val="18"/>
      </w:rPr>
      <w:tblPr/>
      <w:tcPr>
        <w:vAlign w:val="center"/>
      </w:tcPr>
    </w:tblStylePr>
    <w:tblStylePr w:type="neCell">
      <w:pPr>
        <w:jc w:val="left"/>
      </w:pPr>
      <w:rPr>
        <w:b/>
      </w:rPr>
    </w:tblStylePr>
    <w:tblStylePr w:type="nwCell">
      <w:pPr>
        <w:jc w:val="left"/>
      </w:pPr>
      <w:rPr>
        <w:rFonts w:ascii="Cambria" w:hAnsi="Cambria"/>
        <w:b/>
        <w:sz w:val="16"/>
      </w:rPr>
    </w:tblStylePr>
  </w:style>
  <w:style w:type="paragraph" w:customStyle="1" w:styleId="2014-">
    <w:name w:val="2014 ΤΙΤΛΟΣ ΥΠΟ-ΥΠΟΚΕΦΑΛΑΙΟΥ"/>
    <w:basedOn w:val="a"/>
    <w:link w:val="2014-Char"/>
    <w:rsid w:val="00A22D06"/>
    <w:pPr>
      <w:keepNext/>
      <w:spacing w:before="200" w:after="120" w:line="240" w:lineRule="auto"/>
    </w:pPr>
    <w:rPr>
      <w:rFonts w:ascii="Tahoma" w:eastAsia="Times New Roman" w:hAnsi="Tahoma" w:cs="Tahoma"/>
      <w:b/>
      <w:color w:val="0070C0"/>
      <w:w w:val="95"/>
      <w:sz w:val="24"/>
      <w:szCs w:val="18"/>
    </w:rPr>
  </w:style>
  <w:style w:type="character" w:customStyle="1" w:styleId="2014-Char">
    <w:name w:val="2014 ΤΙΤΛΟΣ ΥΠΟ-ΥΠΟΚΕΦΑΛΑΙΟΥ Char"/>
    <w:basedOn w:val="a0"/>
    <w:link w:val="2014-"/>
    <w:locked/>
    <w:rsid w:val="00A22D06"/>
    <w:rPr>
      <w:rFonts w:ascii="Tahoma" w:eastAsia="Times New Roman" w:hAnsi="Tahoma" w:cs="Tahoma"/>
      <w:b/>
      <w:color w:val="0070C0"/>
      <w:w w:val="95"/>
      <w:sz w:val="24"/>
      <w:szCs w:val="18"/>
    </w:rPr>
  </w:style>
  <w:style w:type="paragraph" w:customStyle="1" w:styleId="20140">
    <w:name w:val="2014 ΤΙΤΛΟΣ ΥΠΟΚΕΦΑΛΑΙΟΥ"/>
    <w:basedOn w:val="a"/>
    <w:link w:val="2014Char0"/>
    <w:rsid w:val="00232DA4"/>
    <w:pPr>
      <w:keepNext/>
      <w:spacing w:before="200" w:after="120" w:line="240" w:lineRule="auto"/>
    </w:pPr>
    <w:rPr>
      <w:rFonts w:ascii="Tahoma" w:eastAsia="Times New Roman" w:hAnsi="Tahoma" w:cs="Tahoma"/>
      <w:b/>
      <w:color w:val="0070C0"/>
      <w:w w:val="95"/>
      <w:sz w:val="26"/>
      <w:szCs w:val="18"/>
    </w:rPr>
  </w:style>
  <w:style w:type="character" w:customStyle="1" w:styleId="2014Char0">
    <w:name w:val="2014 ΤΙΤΛΟΣ ΥΠΟΚΕΦΑΛΑΙΟΥ Char"/>
    <w:basedOn w:val="a0"/>
    <w:link w:val="20140"/>
    <w:locked/>
    <w:rsid w:val="00232DA4"/>
    <w:rPr>
      <w:rFonts w:ascii="Tahoma" w:eastAsia="Times New Roman" w:hAnsi="Tahoma" w:cs="Tahoma"/>
      <w:b/>
      <w:color w:val="0070C0"/>
      <w:w w:val="95"/>
      <w:sz w:val="26"/>
      <w:szCs w:val="18"/>
    </w:rPr>
  </w:style>
  <w:style w:type="paragraph" w:styleId="a6">
    <w:name w:val="header"/>
    <w:basedOn w:val="a"/>
    <w:link w:val="Char1"/>
    <w:uiPriority w:val="99"/>
    <w:unhideWhenUsed/>
    <w:rsid w:val="00C77C55"/>
    <w:pPr>
      <w:tabs>
        <w:tab w:val="center" w:pos="4153"/>
        <w:tab w:val="right" w:pos="8306"/>
      </w:tabs>
      <w:spacing w:after="0" w:line="240" w:lineRule="auto"/>
    </w:pPr>
  </w:style>
  <w:style w:type="character" w:customStyle="1" w:styleId="Char1">
    <w:name w:val="Κεφαλίδα Char"/>
    <w:basedOn w:val="a0"/>
    <w:link w:val="a6"/>
    <w:uiPriority w:val="99"/>
    <w:rsid w:val="00C77C55"/>
  </w:style>
  <w:style w:type="paragraph" w:styleId="a7">
    <w:name w:val="footer"/>
    <w:basedOn w:val="a"/>
    <w:link w:val="Char2"/>
    <w:unhideWhenUsed/>
    <w:rsid w:val="00C77C55"/>
    <w:pPr>
      <w:tabs>
        <w:tab w:val="center" w:pos="4153"/>
        <w:tab w:val="right" w:pos="8306"/>
      </w:tabs>
      <w:spacing w:after="0" w:line="240" w:lineRule="auto"/>
    </w:pPr>
  </w:style>
  <w:style w:type="character" w:customStyle="1" w:styleId="Char2">
    <w:name w:val="Υποσέλιδο Char"/>
    <w:basedOn w:val="a0"/>
    <w:link w:val="a7"/>
    <w:rsid w:val="00C77C55"/>
  </w:style>
  <w:style w:type="paragraph" w:styleId="a8">
    <w:name w:val="Body Text"/>
    <w:basedOn w:val="a"/>
    <w:link w:val="Char3"/>
    <w:rsid w:val="00D57F14"/>
    <w:pPr>
      <w:spacing w:after="0" w:line="360" w:lineRule="auto"/>
      <w:jc w:val="both"/>
    </w:pPr>
    <w:rPr>
      <w:rFonts w:ascii="Arial" w:eastAsia="Times New Roman" w:hAnsi="Arial" w:cs="Times New Roman"/>
      <w:szCs w:val="20"/>
    </w:rPr>
  </w:style>
  <w:style w:type="character" w:customStyle="1" w:styleId="Char3">
    <w:name w:val="Σώμα κειμένου Char"/>
    <w:basedOn w:val="a0"/>
    <w:link w:val="a8"/>
    <w:rsid w:val="00D57F14"/>
    <w:rPr>
      <w:rFonts w:ascii="Arial" w:eastAsia="Times New Roman" w:hAnsi="Arial" w:cs="Times New Roman"/>
      <w:szCs w:val="20"/>
    </w:rPr>
  </w:style>
  <w:style w:type="paragraph" w:customStyle="1" w:styleId="20100">
    <w:name w:val="2010 ΠΙΝΑΚΕΣ"/>
    <w:basedOn w:val="a"/>
    <w:link w:val="2010Char"/>
    <w:rsid w:val="00597AB7"/>
    <w:pPr>
      <w:spacing w:before="100" w:after="100" w:line="240" w:lineRule="auto"/>
      <w:jc w:val="center"/>
    </w:pPr>
    <w:rPr>
      <w:rFonts w:ascii="PF Textbook Light" w:eastAsia="Times New Roman" w:hAnsi="PF Textbook Light" w:cs="Times New Roman"/>
      <w:b/>
      <w:color w:val="FFFFFF"/>
      <w:w w:val="95"/>
      <w:lang w:eastAsia="el-GR"/>
    </w:rPr>
  </w:style>
  <w:style w:type="character" w:customStyle="1" w:styleId="2010Char">
    <w:name w:val="2010 ΠΙΝΑΚΕΣ Char"/>
    <w:basedOn w:val="a0"/>
    <w:link w:val="20100"/>
    <w:rsid w:val="00597AB7"/>
    <w:rPr>
      <w:rFonts w:ascii="PF Textbook Light" w:eastAsia="Times New Roman" w:hAnsi="PF Textbook Light" w:cs="Times New Roman"/>
      <w:b/>
      <w:color w:val="FFFFFF"/>
      <w:w w:val="95"/>
      <w:lang w:eastAsia="el-GR"/>
    </w:rPr>
  </w:style>
  <w:style w:type="character" w:styleId="-">
    <w:name w:val="Hyperlink"/>
    <w:unhideWhenUsed/>
    <w:rsid w:val="00F95B70"/>
    <w:rPr>
      <w:color w:val="0000FF"/>
      <w:u w:val="single"/>
    </w:rPr>
  </w:style>
  <w:style w:type="character" w:customStyle="1" w:styleId="style531">
    <w:name w:val="style531"/>
    <w:rsid w:val="00F95B70"/>
    <w:rPr>
      <w:sz w:val="18"/>
      <w:szCs w:val="18"/>
    </w:rPr>
  </w:style>
  <w:style w:type="character" w:styleId="-0">
    <w:name w:val="FollowedHyperlink"/>
    <w:basedOn w:val="a0"/>
    <w:uiPriority w:val="99"/>
    <w:semiHidden/>
    <w:unhideWhenUsed/>
    <w:rsid w:val="00FE74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1507">
      <w:bodyDiv w:val="1"/>
      <w:marLeft w:val="0"/>
      <w:marRight w:val="0"/>
      <w:marTop w:val="0"/>
      <w:marBottom w:val="0"/>
      <w:divBdr>
        <w:top w:val="none" w:sz="0" w:space="0" w:color="auto"/>
        <w:left w:val="none" w:sz="0" w:space="0" w:color="auto"/>
        <w:bottom w:val="none" w:sz="0" w:space="0" w:color="auto"/>
        <w:right w:val="none" w:sz="0" w:space="0" w:color="auto"/>
      </w:divBdr>
    </w:div>
    <w:div w:id="202182105">
      <w:bodyDiv w:val="1"/>
      <w:marLeft w:val="0"/>
      <w:marRight w:val="0"/>
      <w:marTop w:val="0"/>
      <w:marBottom w:val="0"/>
      <w:divBdr>
        <w:top w:val="none" w:sz="0" w:space="0" w:color="auto"/>
        <w:left w:val="none" w:sz="0" w:space="0" w:color="auto"/>
        <w:bottom w:val="none" w:sz="0" w:space="0" w:color="auto"/>
        <w:right w:val="none" w:sz="0" w:space="0" w:color="auto"/>
      </w:divBdr>
    </w:div>
    <w:div w:id="2191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C6D32-0EEA-40E9-B38D-6D230F48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3125</Words>
  <Characters>16876</Characters>
  <Application>Microsoft Office Word</Application>
  <DocSecurity>0</DocSecurity>
  <Lines>140</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ICAP GROUP</Company>
  <LinksUpToDate>false</LinksUpToDate>
  <CharactersWithSpaces>19962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Press SpirouEditions</cp:lastModifiedBy>
  <cp:revision>3</cp:revision>
  <dcterms:created xsi:type="dcterms:W3CDTF">2015-03-19T08:15:00Z</dcterms:created>
  <dcterms:modified xsi:type="dcterms:W3CDTF">2015-03-19T10:33:00Z</dcterms:modified>
</cp:coreProperties>
</file>